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6A97" w14:textId="3B84B10C" w:rsidR="00E8004D" w:rsidRDefault="00E91E89" w:rsidP="00F32B7D">
      <w:pPr>
        <w:spacing w:before="240"/>
        <w:jc w:val="right"/>
      </w:pPr>
      <w:bookmarkStart w:id="0" w:name="_Hlk181010652"/>
      <w:bookmarkEnd w:id="0"/>
      <w:r>
        <w:t>NPFC-20</w:t>
      </w:r>
      <w:r w:rsidR="00A866D2">
        <w:rPr>
          <w:rFonts w:hint="eastAsia"/>
        </w:rPr>
        <w:t>24</w:t>
      </w:r>
      <w:r>
        <w:t>-</w:t>
      </w:r>
      <w:r w:rsidR="00591EC0">
        <w:t>S</w:t>
      </w:r>
      <w:r w:rsidR="00A866D2">
        <w:rPr>
          <w:rFonts w:hint="eastAsia"/>
        </w:rPr>
        <w:t>S</w:t>
      </w:r>
      <w:r w:rsidR="00591EC0">
        <w:t>C</w:t>
      </w:r>
      <w:r w:rsidR="00A866D2">
        <w:rPr>
          <w:rFonts w:hint="eastAsia"/>
        </w:rPr>
        <w:t xml:space="preserve"> BFME</w:t>
      </w:r>
      <w:r w:rsidR="00507A93" w:rsidRPr="00507A93">
        <w:rPr>
          <w:rFonts w:hint="eastAsia"/>
          <w:color w:val="000000" w:themeColor="text1"/>
        </w:rPr>
        <w:t>05</w:t>
      </w:r>
      <w:r w:rsidRPr="00507A93">
        <w:rPr>
          <w:color w:val="000000" w:themeColor="text1"/>
        </w:rPr>
        <w:t>-</w:t>
      </w:r>
      <w:r>
        <w:t>WP</w:t>
      </w:r>
      <w:r w:rsidR="005E26A5">
        <w:t>12</w:t>
      </w:r>
    </w:p>
    <w:p w14:paraId="6DABEBC2" w14:textId="77777777" w:rsidR="00FD2C0B" w:rsidRDefault="00FD2C0B" w:rsidP="00B14F50"/>
    <w:p w14:paraId="7780678F" w14:textId="77777777" w:rsidR="00473456" w:rsidRDefault="00473456" w:rsidP="00B14F50"/>
    <w:p w14:paraId="16845E1C" w14:textId="77777777" w:rsidR="00A866D2" w:rsidRDefault="00A866D2" w:rsidP="00B14F50"/>
    <w:p w14:paraId="7AEB58DD" w14:textId="77777777" w:rsidR="00A866D2" w:rsidRDefault="00A866D2" w:rsidP="00B14F50"/>
    <w:p w14:paraId="3B73E96B" w14:textId="77777777" w:rsidR="00A866D2" w:rsidRDefault="00A866D2" w:rsidP="00B14F50"/>
    <w:p w14:paraId="57FC6E7C" w14:textId="77777777" w:rsidR="00A866D2" w:rsidRDefault="00A866D2" w:rsidP="00B14F50"/>
    <w:p w14:paraId="250B41FE" w14:textId="77777777" w:rsidR="00A866D2" w:rsidRDefault="00A866D2" w:rsidP="00B14F50"/>
    <w:p w14:paraId="6AA448CE" w14:textId="77777777" w:rsidR="00A866D2" w:rsidRDefault="00A866D2" w:rsidP="00B14F50"/>
    <w:p w14:paraId="385F8643" w14:textId="77777777" w:rsidR="00A866D2" w:rsidRDefault="00A866D2" w:rsidP="00B14F50"/>
    <w:p w14:paraId="1CA90F2F" w14:textId="77777777" w:rsidR="00A866D2" w:rsidRDefault="00A866D2" w:rsidP="00B14F50"/>
    <w:p w14:paraId="3A8333F4" w14:textId="77777777" w:rsidR="00A866D2" w:rsidRDefault="00A866D2" w:rsidP="00B14F50"/>
    <w:p w14:paraId="16E8EF64" w14:textId="77777777" w:rsidR="00EB3E67" w:rsidRDefault="000C59D9" w:rsidP="002763F4">
      <w:pPr>
        <w:jc w:val="center"/>
        <w:rPr>
          <w:b/>
          <w:bCs/>
          <w:sz w:val="28"/>
          <w:szCs w:val="28"/>
        </w:rPr>
      </w:pPr>
      <w:r>
        <w:rPr>
          <w:rFonts w:hint="eastAsia"/>
          <w:b/>
          <w:bCs/>
          <w:sz w:val="28"/>
          <w:szCs w:val="28"/>
        </w:rPr>
        <w:t xml:space="preserve">Preliminary evaluation of density levels of VME indicator taxa </w:t>
      </w:r>
    </w:p>
    <w:p w14:paraId="2AD2405E" w14:textId="06420BE6" w:rsidR="00A866D2" w:rsidRPr="00C225E0" w:rsidRDefault="00EB3E67" w:rsidP="002763F4">
      <w:pPr>
        <w:jc w:val="center"/>
        <w:rPr>
          <w:b/>
          <w:bCs/>
          <w:sz w:val="28"/>
          <w:szCs w:val="28"/>
        </w:rPr>
      </w:pPr>
      <w:r>
        <w:rPr>
          <w:rFonts w:hint="eastAsia"/>
          <w:b/>
          <w:bCs/>
          <w:sz w:val="28"/>
          <w:szCs w:val="28"/>
        </w:rPr>
        <w:t>to define VMEs</w:t>
      </w:r>
      <w:r w:rsidR="002763F4">
        <w:rPr>
          <w:rFonts w:hint="eastAsia"/>
          <w:b/>
          <w:bCs/>
          <w:sz w:val="28"/>
          <w:szCs w:val="28"/>
        </w:rPr>
        <w:t xml:space="preserve"> </w:t>
      </w:r>
    </w:p>
    <w:p w14:paraId="0A84FD33" w14:textId="77777777" w:rsidR="00A866D2" w:rsidRPr="00C225E0" w:rsidRDefault="00A866D2" w:rsidP="00A866D2">
      <w:pPr>
        <w:jc w:val="center"/>
        <w:rPr>
          <w:b/>
          <w:bCs/>
          <w:sz w:val="28"/>
          <w:szCs w:val="28"/>
        </w:rPr>
      </w:pPr>
    </w:p>
    <w:p w14:paraId="2B6F6CA1" w14:textId="77777777" w:rsidR="00A866D2" w:rsidRDefault="00A866D2" w:rsidP="00A866D2">
      <w:pPr>
        <w:jc w:val="center"/>
      </w:pPr>
    </w:p>
    <w:p w14:paraId="65E4A5CC" w14:textId="61C276D3" w:rsidR="00A866D2" w:rsidRDefault="00A866D2" w:rsidP="00A866D2">
      <w:pPr>
        <w:jc w:val="center"/>
      </w:pPr>
      <w:r>
        <w:rPr>
          <w:rFonts w:hint="eastAsia"/>
        </w:rPr>
        <w:t>by Yumiko Osawa</w:t>
      </w:r>
      <w:r w:rsidR="005D43F9">
        <w:rPr>
          <w:rFonts w:hint="eastAsia"/>
        </w:rPr>
        <w:t>*</w:t>
      </w:r>
      <w:r w:rsidR="00350F43">
        <w:rPr>
          <w:rFonts w:hint="eastAsia"/>
        </w:rPr>
        <w:t xml:space="preserve"> and Kota Sawada</w:t>
      </w:r>
      <w:r w:rsidR="005D43F9">
        <w:rPr>
          <w:rFonts w:hint="eastAsia"/>
        </w:rPr>
        <w:t>*</w:t>
      </w:r>
    </w:p>
    <w:p w14:paraId="0BBBDD29" w14:textId="77777777" w:rsidR="00A866D2" w:rsidRDefault="00A866D2" w:rsidP="00A866D2">
      <w:pPr>
        <w:jc w:val="center"/>
      </w:pPr>
    </w:p>
    <w:p w14:paraId="07C71589" w14:textId="77777777" w:rsidR="00A866D2" w:rsidRDefault="00A866D2" w:rsidP="00A866D2">
      <w:pPr>
        <w:jc w:val="center"/>
      </w:pPr>
    </w:p>
    <w:p w14:paraId="54C9D7A8" w14:textId="7C5568EC" w:rsidR="00C225E0" w:rsidRDefault="005D43F9" w:rsidP="00A866D2">
      <w:pPr>
        <w:jc w:val="center"/>
      </w:pPr>
      <w:r>
        <w:rPr>
          <w:rFonts w:hint="eastAsia"/>
        </w:rPr>
        <w:t>*</w:t>
      </w:r>
      <w:r w:rsidR="00C225E0" w:rsidRPr="00C225E0">
        <w:t>Oceanic Ecosystem Group, National Research Institute of Far Seas Fisheries,</w:t>
      </w:r>
    </w:p>
    <w:p w14:paraId="23540A3D" w14:textId="5E633234" w:rsidR="00A866D2" w:rsidRDefault="00C225E0" w:rsidP="00A866D2">
      <w:pPr>
        <w:jc w:val="center"/>
      </w:pPr>
      <w:r w:rsidRPr="00C225E0">
        <w:t>Japan Fisheries Research and Education Agency, Japan</w:t>
      </w:r>
    </w:p>
    <w:p w14:paraId="5BB6EBCD" w14:textId="77777777" w:rsidR="00C225E0" w:rsidRDefault="00C225E0" w:rsidP="00A866D2">
      <w:pPr>
        <w:jc w:val="center"/>
      </w:pPr>
    </w:p>
    <w:p w14:paraId="570960F6" w14:textId="77777777" w:rsidR="00C225E0" w:rsidRDefault="00C225E0" w:rsidP="00A866D2">
      <w:pPr>
        <w:jc w:val="center"/>
      </w:pPr>
    </w:p>
    <w:p w14:paraId="43DD4C23" w14:textId="77777777" w:rsidR="00C225E0" w:rsidRDefault="00C225E0" w:rsidP="00A866D2">
      <w:pPr>
        <w:jc w:val="center"/>
      </w:pPr>
    </w:p>
    <w:p w14:paraId="7C0235B2" w14:textId="77777777" w:rsidR="00C225E0" w:rsidRDefault="00C225E0" w:rsidP="00A866D2">
      <w:pPr>
        <w:jc w:val="center"/>
      </w:pPr>
    </w:p>
    <w:p w14:paraId="67A87C0C" w14:textId="77777777" w:rsidR="00C225E0" w:rsidRDefault="00C225E0" w:rsidP="00A866D2">
      <w:pPr>
        <w:jc w:val="center"/>
      </w:pPr>
    </w:p>
    <w:p w14:paraId="6C88DF04" w14:textId="77777777" w:rsidR="00C225E0" w:rsidRDefault="00C225E0" w:rsidP="00A866D2">
      <w:pPr>
        <w:jc w:val="center"/>
      </w:pPr>
    </w:p>
    <w:p w14:paraId="180674DE" w14:textId="77777777" w:rsidR="00C225E0" w:rsidRDefault="00C225E0" w:rsidP="00A866D2">
      <w:pPr>
        <w:jc w:val="center"/>
      </w:pPr>
    </w:p>
    <w:p w14:paraId="7D7184F4" w14:textId="77777777" w:rsidR="00C225E0" w:rsidRDefault="00C225E0" w:rsidP="00A866D2">
      <w:pPr>
        <w:jc w:val="center"/>
      </w:pPr>
    </w:p>
    <w:p w14:paraId="1F00D15B" w14:textId="77777777" w:rsidR="00C225E0" w:rsidRDefault="00C225E0" w:rsidP="00A866D2">
      <w:pPr>
        <w:jc w:val="center"/>
      </w:pPr>
    </w:p>
    <w:p w14:paraId="32C033E3" w14:textId="77777777" w:rsidR="003D3CEB" w:rsidRDefault="003D3CEB" w:rsidP="000C59D9"/>
    <w:p w14:paraId="3E8FC31F" w14:textId="77777777" w:rsidR="00C225E0" w:rsidRDefault="00C225E0" w:rsidP="00A866D2">
      <w:pPr>
        <w:jc w:val="center"/>
      </w:pPr>
    </w:p>
    <w:p w14:paraId="020A66CA" w14:textId="77777777" w:rsidR="00C225E0" w:rsidRDefault="00C225E0" w:rsidP="00C225E0">
      <w:pPr>
        <w:pBdr>
          <w:top w:val="single" w:sz="6" w:space="1" w:color="auto"/>
          <w:bottom w:val="single" w:sz="6" w:space="1" w:color="auto"/>
        </w:pBdr>
        <w:rPr>
          <w:b/>
          <w:bCs/>
        </w:rPr>
      </w:pPr>
    </w:p>
    <w:p w14:paraId="2F5780C7" w14:textId="77777777" w:rsidR="00C225E0" w:rsidRDefault="00C225E0" w:rsidP="00C225E0">
      <w:pPr>
        <w:pBdr>
          <w:top w:val="single" w:sz="6" w:space="1" w:color="auto"/>
          <w:bottom w:val="single" w:sz="6" w:space="1" w:color="auto"/>
        </w:pBdr>
        <w:rPr>
          <w:b/>
          <w:bCs/>
        </w:rPr>
      </w:pPr>
      <w:r w:rsidRPr="00C225E0">
        <w:rPr>
          <w:b/>
          <w:bCs/>
        </w:rPr>
        <w:t>This paper may be cited in the following manner:</w:t>
      </w:r>
    </w:p>
    <w:p w14:paraId="3DDDD4A1" w14:textId="028393F0" w:rsidR="00C225E0" w:rsidRDefault="00C225E0" w:rsidP="00EB3E67">
      <w:pPr>
        <w:pBdr>
          <w:top w:val="single" w:sz="6" w:space="1" w:color="auto"/>
          <w:bottom w:val="single" w:sz="6" w:space="1" w:color="auto"/>
        </w:pBdr>
      </w:pPr>
      <w:r>
        <w:rPr>
          <w:rFonts w:hint="eastAsia"/>
        </w:rPr>
        <w:t>Osawa, Y</w:t>
      </w:r>
      <w:r w:rsidRPr="00C225E0">
        <w:t>.</w:t>
      </w:r>
      <w:r w:rsidR="00C11BBE">
        <w:rPr>
          <w:rFonts w:hint="eastAsia"/>
        </w:rPr>
        <w:t>, &amp; Sawada, K.</w:t>
      </w:r>
      <w:r w:rsidRPr="00C225E0">
        <w:t xml:space="preserve"> 202</w:t>
      </w:r>
      <w:r>
        <w:rPr>
          <w:rFonts w:hint="eastAsia"/>
        </w:rPr>
        <w:t>4</w:t>
      </w:r>
      <w:r w:rsidRPr="00C225E0">
        <w:t xml:space="preserve">. </w:t>
      </w:r>
      <w:r w:rsidR="00EB3E67">
        <w:t>Preliminary evaluation of density levels of VME indicator taxa to define VMEs</w:t>
      </w:r>
      <w:r w:rsidR="00EB3E67">
        <w:rPr>
          <w:rFonts w:hint="eastAsia"/>
        </w:rPr>
        <w:t>.</w:t>
      </w:r>
      <w:r w:rsidR="000C59D9" w:rsidRPr="00C225E0">
        <w:t xml:space="preserve"> </w:t>
      </w:r>
      <w:r w:rsidRPr="00C225E0">
        <w:t>NPFC-202</w:t>
      </w:r>
      <w:r>
        <w:rPr>
          <w:rFonts w:hint="eastAsia"/>
        </w:rPr>
        <w:t>4</w:t>
      </w:r>
      <w:r w:rsidRPr="00C225E0">
        <w:t>-SSC BFME0</w:t>
      </w:r>
      <w:r w:rsidR="00AE437C">
        <w:rPr>
          <w:rFonts w:hint="eastAsia"/>
        </w:rPr>
        <w:t>5</w:t>
      </w:r>
      <w:r w:rsidRPr="00C225E0">
        <w:t>-</w:t>
      </w:r>
      <w:r w:rsidRPr="005E26A5">
        <w:rPr>
          <w:rFonts w:hint="eastAsia"/>
          <w:color w:val="000000" w:themeColor="text1"/>
        </w:rPr>
        <w:t>WP</w:t>
      </w:r>
      <w:r w:rsidR="005E26A5" w:rsidRPr="005E26A5">
        <w:rPr>
          <w:color w:val="000000" w:themeColor="text1"/>
        </w:rPr>
        <w:t>12</w:t>
      </w:r>
      <w:r w:rsidRPr="005E26A5">
        <w:rPr>
          <w:color w:val="000000" w:themeColor="text1"/>
        </w:rPr>
        <w:t xml:space="preserve">. </w:t>
      </w:r>
      <w:r w:rsidR="00EB3E67" w:rsidRPr="005E26A5">
        <w:rPr>
          <w:rFonts w:hint="eastAsia"/>
          <w:color w:val="000000" w:themeColor="text1"/>
        </w:rPr>
        <w:t>7</w:t>
      </w:r>
      <w:r w:rsidRPr="005E26A5">
        <w:rPr>
          <w:color w:val="000000" w:themeColor="text1"/>
        </w:rPr>
        <w:t xml:space="preserve"> </w:t>
      </w:r>
      <w:r w:rsidRPr="00C225E0">
        <w:t>pp.</w:t>
      </w:r>
    </w:p>
    <w:p w14:paraId="3E6D9C70" w14:textId="77777777" w:rsidR="00C225E0" w:rsidRDefault="00C225E0" w:rsidP="00C225E0">
      <w:pPr>
        <w:pBdr>
          <w:top w:val="single" w:sz="6" w:space="1" w:color="auto"/>
          <w:bottom w:val="single" w:sz="6" w:space="1" w:color="auto"/>
        </w:pBdr>
      </w:pPr>
    </w:p>
    <w:p w14:paraId="2C40ECC5" w14:textId="77777777" w:rsidR="00EB3E67" w:rsidRDefault="00EB3E67" w:rsidP="00EB3E67">
      <w:pPr>
        <w:jc w:val="center"/>
        <w:rPr>
          <w:b/>
          <w:bCs/>
          <w:sz w:val="28"/>
          <w:szCs w:val="28"/>
        </w:rPr>
      </w:pPr>
      <w:r>
        <w:rPr>
          <w:rFonts w:hint="eastAsia"/>
          <w:b/>
          <w:bCs/>
          <w:sz w:val="28"/>
          <w:szCs w:val="28"/>
        </w:rPr>
        <w:lastRenderedPageBreak/>
        <w:t xml:space="preserve">Preliminary evaluation of density levels of VME indicator taxa </w:t>
      </w:r>
    </w:p>
    <w:p w14:paraId="51C816C2" w14:textId="77777777" w:rsidR="00EB3E67" w:rsidRPr="00C225E0" w:rsidRDefault="00EB3E67" w:rsidP="00EB3E67">
      <w:pPr>
        <w:jc w:val="center"/>
        <w:rPr>
          <w:b/>
          <w:bCs/>
          <w:sz w:val="28"/>
          <w:szCs w:val="28"/>
        </w:rPr>
      </w:pPr>
      <w:r>
        <w:rPr>
          <w:rFonts w:hint="eastAsia"/>
          <w:b/>
          <w:bCs/>
          <w:sz w:val="28"/>
          <w:szCs w:val="28"/>
        </w:rPr>
        <w:t xml:space="preserve">to define VMEs </w:t>
      </w:r>
    </w:p>
    <w:p w14:paraId="38EFEC7B" w14:textId="77777777" w:rsidR="002763F4" w:rsidRPr="00C225E0" w:rsidRDefault="002763F4" w:rsidP="00EB3E67">
      <w:pPr>
        <w:rPr>
          <w:b/>
          <w:bCs/>
          <w:sz w:val="28"/>
          <w:szCs w:val="28"/>
        </w:rPr>
      </w:pPr>
    </w:p>
    <w:p w14:paraId="401FCD8E" w14:textId="77777777" w:rsidR="00C225E0" w:rsidRPr="002763F4" w:rsidRDefault="00C225E0" w:rsidP="00C225E0">
      <w:pPr>
        <w:jc w:val="center"/>
      </w:pPr>
    </w:p>
    <w:p w14:paraId="4C332ADB" w14:textId="0B04D077" w:rsidR="00C225E0" w:rsidRDefault="00C225E0" w:rsidP="00C225E0">
      <w:pPr>
        <w:jc w:val="center"/>
      </w:pPr>
      <w:r>
        <w:rPr>
          <w:rFonts w:hint="eastAsia"/>
        </w:rPr>
        <w:t>Yumiko Osawa</w:t>
      </w:r>
      <w:r w:rsidR="005D43F9">
        <w:rPr>
          <w:rFonts w:hint="eastAsia"/>
        </w:rPr>
        <w:t>*</w:t>
      </w:r>
      <w:r w:rsidR="00350F43">
        <w:rPr>
          <w:rFonts w:hint="eastAsia"/>
        </w:rPr>
        <w:t xml:space="preserve"> and Kota Sawada</w:t>
      </w:r>
      <w:r w:rsidR="005D43F9">
        <w:rPr>
          <w:rFonts w:hint="eastAsia"/>
        </w:rPr>
        <w:t>*</w:t>
      </w:r>
    </w:p>
    <w:p w14:paraId="36D830EC" w14:textId="77777777" w:rsidR="00C225E0" w:rsidRDefault="00C225E0" w:rsidP="00C225E0">
      <w:pPr>
        <w:jc w:val="center"/>
      </w:pPr>
    </w:p>
    <w:p w14:paraId="602236BE" w14:textId="52BE2E0F" w:rsidR="00C225E0" w:rsidRDefault="005D43F9" w:rsidP="00C225E0">
      <w:pPr>
        <w:jc w:val="center"/>
      </w:pPr>
      <w:r>
        <w:rPr>
          <w:rFonts w:hint="eastAsia"/>
        </w:rPr>
        <w:t>*</w:t>
      </w:r>
      <w:r w:rsidR="00C225E0" w:rsidRPr="00C225E0">
        <w:t>Oceanic Ecosystem Group, National Research Institute of Far Seas Fisheries,</w:t>
      </w:r>
    </w:p>
    <w:p w14:paraId="1B9AF1C4" w14:textId="77777777" w:rsidR="00C225E0" w:rsidRDefault="00C225E0" w:rsidP="00C225E0">
      <w:pPr>
        <w:jc w:val="center"/>
      </w:pPr>
      <w:r w:rsidRPr="00C225E0">
        <w:t>Japan Fisheries Research and Education Agency, Japan</w:t>
      </w:r>
    </w:p>
    <w:p w14:paraId="1FA25CB4" w14:textId="77777777" w:rsidR="00C225E0" w:rsidRDefault="00C225E0" w:rsidP="00C225E0">
      <w:pPr>
        <w:jc w:val="center"/>
      </w:pPr>
    </w:p>
    <w:p w14:paraId="381578FE" w14:textId="77777777" w:rsidR="00C225E0" w:rsidRDefault="00C225E0" w:rsidP="00C225E0">
      <w:pPr>
        <w:jc w:val="left"/>
      </w:pPr>
    </w:p>
    <w:p w14:paraId="751B8B93" w14:textId="70C08DBC" w:rsidR="00C225E0" w:rsidRPr="008C3F03" w:rsidRDefault="00C225E0" w:rsidP="008C3F03">
      <w:pPr>
        <w:jc w:val="left"/>
        <w:rPr>
          <w:b/>
          <w:bCs/>
        </w:rPr>
      </w:pPr>
      <w:r w:rsidRPr="008C3F03">
        <w:rPr>
          <w:rFonts w:hint="eastAsia"/>
          <w:b/>
          <w:bCs/>
        </w:rPr>
        <w:t>Abstract</w:t>
      </w:r>
    </w:p>
    <w:p w14:paraId="1AD84F50" w14:textId="344CF8E4" w:rsidR="002763F4" w:rsidRDefault="00750B24" w:rsidP="008C3F03">
      <w:pPr>
        <w:jc w:val="left"/>
      </w:pPr>
      <w:r>
        <w:t>Of the</w:t>
      </w:r>
      <w:r w:rsidRPr="009D546E">
        <w:t xml:space="preserve"> </w:t>
      </w:r>
      <w:r w:rsidR="009D546E" w:rsidRPr="009D546E">
        <w:t xml:space="preserve">two officially approved methods of VME-defining frameworks in </w:t>
      </w:r>
      <w:r w:rsidR="0016276B">
        <w:t xml:space="preserve">the </w:t>
      </w:r>
      <w:r w:rsidR="009D546E" w:rsidRPr="009D546E">
        <w:t xml:space="preserve">NPFC, </w:t>
      </w:r>
      <w:r w:rsidR="00EB7B1D">
        <w:t>the</w:t>
      </w:r>
      <w:r w:rsidR="0016276B">
        <w:t xml:space="preserve"> </w:t>
      </w:r>
      <w:r w:rsidR="009D546E" w:rsidRPr="009D546E">
        <w:t xml:space="preserve">Japanese-proposed method evaluates density of VME indicator taxa into three levels (Low, Medium, and High). As the lack of scientific evidence regarding these levels was pointed out by some NPFC Members, we examined the adequacy of each density level in this document. By using the segmented method of cumulative distributions </w:t>
      </w:r>
      <w:r w:rsidR="00B41C5F">
        <w:t>for the</w:t>
      </w:r>
      <w:r w:rsidR="009D546E" w:rsidRPr="009D546E">
        <w:t xml:space="preserve"> density of each VME indicator taxa, we revealed that the current density levels were adequate, or even more precautional, than the calculated results for most taxa. Therefore, application of the current density levels would be recommended to define VMEs using </w:t>
      </w:r>
      <w:r w:rsidR="00CC4B75">
        <w:t xml:space="preserve">the </w:t>
      </w:r>
      <w:r w:rsidR="009D546E" w:rsidRPr="009D546E">
        <w:t>Japanese-proposed method from a precautional point of view.</w:t>
      </w:r>
    </w:p>
    <w:p w14:paraId="68C6171A" w14:textId="77777777" w:rsidR="009D546E" w:rsidRDefault="009D546E" w:rsidP="008C3F03">
      <w:pPr>
        <w:jc w:val="left"/>
      </w:pPr>
    </w:p>
    <w:p w14:paraId="50B090E9" w14:textId="77777777" w:rsidR="00537166" w:rsidRDefault="00537166" w:rsidP="008C3F03">
      <w:pPr>
        <w:jc w:val="left"/>
      </w:pPr>
    </w:p>
    <w:p w14:paraId="6BAFBD2D" w14:textId="424060AF" w:rsidR="00C225E0" w:rsidRPr="008C3F03" w:rsidRDefault="008C3F03" w:rsidP="00F85937">
      <w:pPr>
        <w:spacing w:line="276" w:lineRule="auto"/>
        <w:jc w:val="left"/>
        <w:rPr>
          <w:b/>
          <w:bCs/>
        </w:rPr>
      </w:pPr>
      <w:r w:rsidRPr="008C3F03">
        <w:rPr>
          <w:rFonts w:hint="eastAsia"/>
          <w:b/>
          <w:bCs/>
        </w:rPr>
        <w:t>Backgrou</w:t>
      </w:r>
      <w:r>
        <w:rPr>
          <w:rFonts w:hint="eastAsia"/>
          <w:b/>
          <w:bCs/>
        </w:rPr>
        <w:t>n</w:t>
      </w:r>
      <w:r w:rsidRPr="008C3F03">
        <w:rPr>
          <w:rFonts w:hint="eastAsia"/>
          <w:b/>
          <w:bCs/>
        </w:rPr>
        <w:t>d</w:t>
      </w:r>
    </w:p>
    <w:p w14:paraId="516CCDD4" w14:textId="1CEE9677" w:rsidR="00241B13" w:rsidRDefault="00D94122" w:rsidP="00F85937">
      <w:pPr>
        <w:pStyle w:val="BodyText"/>
        <w:spacing w:line="276" w:lineRule="auto"/>
        <w:ind w:left="0"/>
        <w:rPr>
          <w:rFonts w:eastAsiaTheme="minorEastAsia"/>
          <w:lang w:eastAsia="ja-JP"/>
        </w:rPr>
      </w:pPr>
      <w:r>
        <w:rPr>
          <w:lang w:eastAsia="ja-JP"/>
        </w:rPr>
        <w:t xml:space="preserve">Currently, </w:t>
      </w:r>
      <w:r w:rsidR="00CC4B75">
        <w:rPr>
          <w:lang w:eastAsia="ja-JP"/>
        </w:rPr>
        <w:t xml:space="preserve">the </w:t>
      </w:r>
      <w:r>
        <w:rPr>
          <w:lang w:eastAsia="ja-JP"/>
        </w:rPr>
        <w:t xml:space="preserve">NPFC has approved two methods as a framework for </w:t>
      </w:r>
      <w:r>
        <w:rPr>
          <w:rFonts w:eastAsiaTheme="minorEastAsia" w:hint="eastAsia"/>
          <w:lang w:eastAsia="ja-JP"/>
        </w:rPr>
        <w:t>defining</w:t>
      </w:r>
      <w:r>
        <w:rPr>
          <w:lang w:eastAsia="ja-JP"/>
        </w:rPr>
        <w:t xml:space="preserve"> VMEs: the method proposed by Japan (NPFC-2019-SSC VME04-WP02) and t</w:t>
      </w:r>
      <w:r w:rsidRPr="00A57AB3">
        <w:rPr>
          <w:rFonts w:cs="Times New Roman"/>
          <w:lang w:eastAsia="ja-JP"/>
        </w:rPr>
        <w:t>he</w:t>
      </w:r>
      <w:r w:rsidR="00A57AB3" w:rsidRPr="00A57AB3">
        <w:rPr>
          <w:rFonts w:eastAsia="MS Mincho" w:cs="Times New Roman"/>
          <w:lang w:eastAsia="ja-JP"/>
        </w:rPr>
        <w:t xml:space="preserve"> </w:t>
      </w:r>
      <w:r w:rsidR="00A57AB3">
        <w:rPr>
          <w:rFonts w:eastAsia="MS Mincho" w:cs="Times New Roman" w:hint="eastAsia"/>
          <w:lang w:eastAsia="ja-JP"/>
        </w:rPr>
        <w:t>one</w:t>
      </w:r>
      <w:r>
        <w:rPr>
          <w:lang w:eastAsia="ja-JP"/>
        </w:rPr>
        <w:t xml:space="preserve"> by Canada (NPFC-2021-SSC BFME02-WP05). Both methods </w:t>
      </w:r>
      <w:r w:rsidR="000F3581">
        <w:rPr>
          <w:rFonts w:eastAsiaTheme="minorEastAsia" w:hint="eastAsia"/>
          <w:lang w:eastAsia="ja-JP"/>
        </w:rPr>
        <w:t>use</w:t>
      </w:r>
      <w:r w:rsidR="000F3581">
        <w:rPr>
          <w:lang w:eastAsia="ja-JP"/>
        </w:rPr>
        <w:t xml:space="preserve"> </w:t>
      </w:r>
      <w:r>
        <w:rPr>
          <w:lang w:eastAsia="ja-JP"/>
        </w:rPr>
        <w:t xml:space="preserve">the population density of VME </w:t>
      </w:r>
      <w:r>
        <w:rPr>
          <w:rFonts w:eastAsiaTheme="minorEastAsia" w:hint="eastAsia"/>
          <w:lang w:eastAsia="ja-JP"/>
        </w:rPr>
        <w:t>indicator taxa</w:t>
      </w:r>
      <w:r w:rsidR="000F3581">
        <w:rPr>
          <w:rFonts w:eastAsiaTheme="minorEastAsia" w:hint="eastAsia"/>
          <w:lang w:eastAsia="ja-JP"/>
        </w:rPr>
        <w:t xml:space="preserve"> as a part of the assessment process</w:t>
      </w:r>
      <w:r>
        <w:rPr>
          <w:lang w:eastAsia="ja-JP"/>
        </w:rPr>
        <w:t>.</w:t>
      </w:r>
    </w:p>
    <w:p w14:paraId="4AE7A80F" w14:textId="44206A12" w:rsidR="00D94122" w:rsidRDefault="00241B13" w:rsidP="00F85937">
      <w:pPr>
        <w:pStyle w:val="BodyText"/>
        <w:spacing w:line="276" w:lineRule="auto"/>
        <w:ind w:left="0" w:firstLine="479"/>
        <w:rPr>
          <w:rFonts w:eastAsiaTheme="minorEastAsia" w:cs="Times New Roman"/>
          <w:lang w:eastAsia="ja-JP"/>
        </w:rPr>
      </w:pPr>
      <w:r w:rsidRPr="00241B13">
        <w:rPr>
          <w:rFonts w:cs="Times New Roman"/>
          <w:lang w:eastAsia="ja-JP"/>
        </w:rPr>
        <w:t xml:space="preserve">In the Japanese method, </w:t>
      </w:r>
      <w:r w:rsidR="00942464">
        <w:rPr>
          <w:rFonts w:cs="Times New Roman"/>
          <w:lang w:eastAsia="ja-JP"/>
        </w:rPr>
        <w:t xml:space="preserve">the </w:t>
      </w:r>
      <w:r w:rsidRPr="00241B13">
        <w:rPr>
          <w:rFonts w:cs="Times New Roman"/>
          <w:lang w:eastAsia="ja-JP"/>
        </w:rPr>
        <w:t>density</w:t>
      </w:r>
      <w:r w:rsidR="000F3581">
        <w:rPr>
          <w:rFonts w:eastAsiaTheme="minorEastAsia" w:cs="Times New Roman" w:hint="eastAsia"/>
          <w:lang w:eastAsia="ja-JP"/>
        </w:rPr>
        <w:t xml:space="preserve"> of </w:t>
      </w:r>
      <w:r w:rsidR="000F3581" w:rsidRPr="00241B13">
        <w:rPr>
          <w:rFonts w:cs="Times New Roman"/>
          <w:lang w:eastAsia="ja-JP"/>
        </w:rPr>
        <w:t>each VME indicator taxa</w:t>
      </w:r>
      <w:r w:rsidRPr="00241B13">
        <w:rPr>
          <w:rFonts w:cs="Times New Roman"/>
          <w:lang w:eastAsia="ja-JP"/>
        </w:rPr>
        <w:t xml:space="preserve"> </w:t>
      </w:r>
      <w:r w:rsidR="000F3581">
        <w:rPr>
          <w:rFonts w:eastAsiaTheme="minorEastAsia" w:cs="Times New Roman" w:hint="eastAsia"/>
          <w:lang w:eastAsia="ja-JP"/>
        </w:rPr>
        <w:t>is</w:t>
      </w:r>
      <w:r w:rsidR="000F3581" w:rsidRPr="00241B13">
        <w:rPr>
          <w:rFonts w:cs="Times New Roman"/>
          <w:lang w:eastAsia="ja-JP"/>
        </w:rPr>
        <w:t xml:space="preserve"> </w:t>
      </w:r>
      <w:r w:rsidR="000F3581">
        <w:rPr>
          <w:rFonts w:eastAsiaTheme="minorEastAsia" w:cs="Times New Roman" w:hint="eastAsia"/>
          <w:lang w:eastAsia="ja-JP"/>
        </w:rPr>
        <w:t>categorized</w:t>
      </w:r>
      <w:r w:rsidR="000F3581" w:rsidRPr="00241B13">
        <w:rPr>
          <w:rFonts w:cs="Times New Roman"/>
          <w:lang w:eastAsia="ja-JP"/>
        </w:rPr>
        <w:t xml:space="preserve"> </w:t>
      </w:r>
      <w:r w:rsidRPr="00241B13">
        <w:rPr>
          <w:rFonts w:cs="Times New Roman"/>
          <w:lang w:eastAsia="ja-JP"/>
        </w:rPr>
        <w:t>in</w:t>
      </w:r>
      <w:r w:rsidR="000F3581">
        <w:rPr>
          <w:rFonts w:eastAsiaTheme="minorEastAsia" w:cs="Times New Roman" w:hint="eastAsia"/>
          <w:lang w:eastAsia="ja-JP"/>
        </w:rPr>
        <w:t>to</w:t>
      </w:r>
      <w:r w:rsidRPr="00241B13">
        <w:rPr>
          <w:rFonts w:cs="Times New Roman"/>
          <w:lang w:eastAsia="ja-JP"/>
        </w:rPr>
        <w:t xml:space="preserve"> three </w:t>
      </w:r>
      <w:r w:rsidR="00A57AB3">
        <w:rPr>
          <w:rFonts w:eastAsiaTheme="minorEastAsia" w:cs="Times New Roman" w:hint="eastAsia"/>
          <w:lang w:eastAsia="ja-JP"/>
        </w:rPr>
        <w:t>levels</w:t>
      </w:r>
      <w:r w:rsidRPr="00241B13">
        <w:rPr>
          <w:rFonts w:cs="Times New Roman"/>
          <w:lang w:eastAsia="ja-JP"/>
        </w:rPr>
        <w:t xml:space="preserve"> (Table 1), and these categories are used in the screening process </w:t>
      </w:r>
      <w:r w:rsidR="00F200C5">
        <w:rPr>
          <w:rFonts w:cs="Times New Roman"/>
          <w:lang w:eastAsia="ja-JP"/>
        </w:rPr>
        <w:t>for</w:t>
      </w:r>
      <w:r w:rsidR="00F200C5" w:rsidRPr="00241B13">
        <w:rPr>
          <w:rFonts w:cs="Times New Roman"/>
          <w:lang w:eastAsia="ja-JP"/>
        </w:rPr>
        <w:t xml:space="preserve"> </w:t>
      </w:r>
      <w:r w:rsidR="00F200C5">
        <w:rPr>
          <w:rFonts w:cs="Times New Roman"/>
          <w:lang w:eastAsia="ja-JP"/>
        </w:rPr>
        <w:t>identifying</w:t>
      </w:r>
      <w:r w:rsidR="00F200C5" w:rsidRPr="00241B13">
        <w:rPr>
          <w:rFonts w:cs="Times New Roman"/>
          <w:lang w:eastAsia="ja-JP"/>
        </w:rPr>
        <w:t xml:space="preserve"> </w:t>
      </w:r>
      <w:r w:rsidRPr="00241B13">
        <w:rPr>
          <w:rFonts w:cs="Times New Roman"/>
          <w:lang w:eastAsia="ja-JP"/>
        </w:rPr>
        <w:t>VME sites. However, it was pointed out in SSC BFME04 that</w:t>
      </w:r>
      <w:r w:rsidR="008F3866" w:rsidRPr="008F3866">
        <w:rPr>
          <w:rFonts w:cs="Times New Roman"/>
          <w:lang w:eastAsia="ja-JP"/>
        </w:rPr>
        <w:t xml:space="preserve"> the density thresholds should be further explored</w:t>
      </w:r>
      <w:r w:rsidRPr="00241B13">
        <w:rPr>
          <w:rFonts w:cs="Times New Roman"/>
          <w:lang w:eastAsia="ja-JP"/>
        </w:rPr>
        <w:t xml:space="preserve"> (NPFC-2023-SSC BF-ME04-Final Report)</w:t>
      </w:r>
      <w:r w:rsidR="00C7783C">
        <w:rPr>
          <w:rFonts w:eastAsiaTheme="minorEastAsia" w:cs="Times New Roman" w:hint="eastAsia"/>
          <w:lang w:eastAsia="ja-JP"/>
        </w:rPr>
        <w:t xml:space="preserve">, as the values were determined by </w:t>
      </w:r>
      <w:r w:rsidR="00B43DDC">
        <w:rPr>
          <w:rFonts w:eastAsiaTheme="minorEastAsia" w:cs="Times New Roman"/>
          <w:lang w:eastAsia="ja-JP"/>
        </w:rPr>
        <w:t>a</w:t>
      </w:r>
      <w:r w:rsidR="00B43DDC">
        <w:rPr>
          <w:rFonts w:eastAsiaTheme="minorEastAsia" w:cs="Times New Roman" w:hint="eastAsia"/>
          <w:lang w:eastAsia="ja-JP"/>
        </w:rPr>
        <w:t xml:space="preserve"> </w:t>
      </w:r>
      <w:r w:rsidR="00C7783C">
        <w:rPr>
          <w:rFonts w:eastAsiaTheme="minorEastAsia" w:cs="Times New Roman" w:hint="eastAsia"/>
          <w:lang w:eastAsia="ja-JP"/>
        </w:rPr>
        <w:t>rule of thumb based on expert opinion, not by quantitative analyses</w:t>
      </w:r>
      <w:r w:rsidRPr="00241B13">
        <w:rPr>
          <w:rFonts w:cs="Times New Roman"/>
          <w:lang w:eastAsia="ja-JP"/>
        </w:rPr>
        <w:t>. In this study, we examined the adequacy of each density level using the segmented method.</w:t>
      </w:r>
    </w:p>
    <w:p w14:paraId="4F777467" w14:textId="77777777" w:rsidR="00241B13" w:rsidRDefault="00241B13" w:rsidP="00241B13">
      <w:pPr>
        <w:pStyle w:val="BodyText"/>
        <w:ind w:left="0" w:firstLine="479"/>
        <w:rPr>
          <w:rFonts w:eastAsiaTheme="minorEastAsia"/>
          <w:lang w:eastAsia="ja-JP"/>
        </w:rPr>
      </w:pPr>
    </w:p>
    <w:p w14:paraId="59573B6A" w14:textId="77777777" w:rsidR="002763F4" w:rsidRDefault="002763F4" w:rsidP="00241B13">
      <w:pPr>
        <w:pStyle w:val="BodyText"/>
        <w:ind w:left="0" w:firstLine="479"/>
        <w:rPr>
          <w:rFonts w:eastAsiaTheme="minorEastAsia"/>
          <w:lang w:eastAsia="ja-JP"/>
        </w:rPr>
      </w:pPr>
    </w:p>
    <w:p w14:paraId="40621084" w14:textId="77777777" w:rsidR="009D546E" w:rsidRPr="00241B13" w:rsidRDefault="009D546E" w:rsidP="00537166">
      <w:pPr>
        <w:pStyle w:val="BodyText"/>
        <w:ind w:left="0"/>
        <w:rPr>
          <w:rFonts w:eastAsiaTheme="minorEastAsia"/>
          <w:lang w:eastAsia="ja-JP"/>
        </w:rPr>
      </w:pPr>
    </w:p>
    <w:p w14:paraId="34271719" w14:textId="06C41EFF" w:rsidR="00D94122" w:rsidRPr="00241B13" w:rsidRDefault="00D94122" w:rsidP="009D546E">
      <w:pPr>
        <w:pStyle w:val="BodyText"/>
        <w:ind w:left="0"/>
        <w:rPr>
          <w:rFonts w:asciiTheme="majorHAnsi" w:eastAsiaTheme="majorEastAsia" w:hAnsiTheme="majorHAnsi" w:cstheme="majorHAnsi"/>
          <w:lang w:eastAsia="ja-JP"/>
        </w:rPr>
      </w:pPr>
      <w:r w:rsidRPr="00241B13">
        <w:rPr>
          <w:rFonts w:asciiTheme="majorHAnsi" w:eastAsiaTheme="majorEastAsia" w:hAnsiTheme="majorHAnsi" w:cstheme="majorHAnsi"/>
          <w:lang w:eastAsia="ja-JP"/>
        </w:rPr>
        <w:lastRenderedPageBreak/>
        <w:t>Table 1: Density categories of VME indicator species for screening potential VME sites (based on 7.5 m</w:t>
      </w:r>
      <w:r w:rsidRPr="00241B13">
        <w:rPr>
          <w:rFonts w:asciiTheme="majorHAnsi" w:eastAsiaTheme="majorEastAsia" w:hAnsiTheme="majorHAnsi" w:cstheme="majorHAnsi"/>
          <w:vertAlign w:val="superscript"/>
          <w:lang w:eastAsia="ja-JP"/>
        </w:rPr>
        <w:t xml:space="preserve">2 </w:t>
      </w:r>
      <w:r w:rsidRPr="00241B13">
        <w:rPr>
          <w:rFonts w:asciiTheme="majorHAnsi" w:eastAsiaTheme="majorEastAsia" w:hAnsiTheme="majorHAnsi" w:cstheme="majorHAnsi"/>
          <w:lang w:eastAsia="ja-JP"/>
        </w:rPr>
        <w:t>view angle)</w:t>
      </w:r>
    </w:p>
    <w:tbl>
      <w:tblPr>
        <w:tblW w:w="9356" w:type="dxa"/>
        <w:tblInd w:w="-10" w:type="dxa"/>
        <w:tblCellMar>
          <w:left w:w="0" w:type="dxa"/>
          <w:right w:w="0" w:type="dxa"/>
        </w:tblCellMar>
        <w:tblLook w:val="04A0" w:firstRow="1" w:lastRow="0" w:firstColumn="1" w:lastColumn="0" w:noHBand="0" w:noVBand="1"/>
      </w:tblPr>
      <w:tblGrid>
        <w:gridCol w:w="3118"/>
        <w:gridCol w:w="3119"/>
        <w:gridCol w:w="3119"/>
      </w:tblGrid>
      <w:tr w:rsidR="00683F65" w:rsidRPr="00241B13" w14:paraId="561D0F75" w14:textId="77777777" w:rsidTr="00683F65">
        <w:trPr>
          <w:trHeight w:val="1462"/>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AADF724" w14:textId="7E805AF2" w:rsidR="00683F65" w:rsidRPr="00241B13" w:rsidRDefault="00683F65" w:rsidP="00496840">
            <w:pPr>
              <w:widowControl/>
              <w:jc w:val="center"/>
              <w:rPr>
                <w:rFonts w:asciiTheme="majorHAnsi" w:eastAsia="MS PGothic" w:hAnsiTheme="majorHAnsi" w:cstheme="majorHAnsi"/>
                <w:kern w:val="0"/>
                <w:szCs w:val="24"/>
              </w:rPr>
            </w:pP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EEF10D8" w14:textId="617C0B69" w:rsidR="00683F65" w:rsidRDefault="00D46556" w:rsidP="00496840">
            <w:pPr>
              <w:widowControl/>
              <w:jc w:val="center"/>
              <w:rPr>
                <w:rFonts w:asciiTheme="majorHAnsi" w:eastAsia="MS Gothic" w:hAnsiTheme="majorHAnsi" w:cstheme="majorHAnsi"/>
                <w:color w:val="000000"/>
                <w:kern w:val="0"/>
                <w:szCs w:val="24"/>
              </w:rPr>
            </w:pPr>
            <w:r>
              <w:rPr>
                <w:rFonts w:asciiTheme="majorHAnsi" w:eastAsia="MS Gothic" w:hAnsiTheme="majorHAnsi" w:cstheme="majorHAnsi" w:hint="eastAsia"/>
                <w:color w:val="000000"/>
                <w:kern w:val="0"/>
                <w:szCs w:val="24"/>
              </w:rPr>
              <w:t>g</w:t>
            </w:r>
            <w:r w:rsidR="00683F65" w:rsidRPr="00241B13">
              <w:rPr>
                <w:rFonts w:asciiTheme="majorHAnsi" w:eastAsia="MS Gothic" w:hAnsiTheme="majorHAnsi" w:cstheme="majorHAnsi"/>
                <w:color w:val="000000"/>
                <w:kern w:val="0"/>
                <w:szCs w:val="24"/>
              </w:rPr>
              <w:t>orgonians</w:t>
            </w:r>
          </w:p>
          <w:p w14:paraId="21435303" w14:textId="1747B602" w:rsidR="00D46556" w:rsidRPr="00241B13" w:rsidRDefault="00D46556" w:rsidP="00496840">
            <w:pPr>
              <w:widowControl/>
              <w:jc w:val="center"/>
              <w:rPr>
                <w:rFonts w:asciiTheme="majorHAnsi" w:eastAsia="MS Gothic" w:hAnsiTheme="majorHAnsi" w:cstheme="majorHAnsi"/>
                <w:color w:val="000000"/>
                <w:kern w:val="0"/>
                <w:szCs w:val="24"/>
              </w:rPr>
            </w:pPr>
            <w:r>
              <w:rPr>
                <w:rFonts w:asciiTheme="majorHAnsi" w:eastAsia="MS Gothic" w:hAnsiTheme="majorHAnsi" w:cstheme="majorHAnsi" w:hint="eastAsia"/>
                <w:color w:val="000000"/>
                <w:kern w:val="0"/>
                <w:szCs w:val="24"/>
              </w:rPr>
              <w:t>soft corals</w:t>
            </w:r>
          </w:p>
          <w:p w14:paraId="14661679" w14:textId="2E9E371F" w:rsidR="00683F65" w:rsidRPr="00241B13" w:rsidRDefault="00683F65" w:rsidP="00496840">
            <w:pPr>
              <w:widowControl/>
              <w:jc w:val="center"/>
              <w:rPr>
                <w:rFonts w:asciiTheme="majorHAnsi" w:eastAsia="MS Gothic" w:hAnsiTheme="majorHAnsi" w:cstheme="majorHAnsi"/>
                <w:color w:val="000000"/>
                <w:kern w:val="0"/>
                <w:szCs w:val="24"/>
              </w:rPr>
            </w:pPr>
            <w:r w:rsidRPr="00241B13">
              <w:rPr>
                <w:rFonts w:asciiTheme="majorHAnsi" w:eastAsia="MS Gothic" w:hAnsiTheme="majorHAnsi" w:cstheme="majorHAnsi"/>
                <w:color w:val="000000"/>
                <w:kern w:val="0"/>
                <w:szCs w:val="24"/>
              </w:rPr>
              <w:t xml:space="preserve"> Antipatharia</w:t>
            </w:r>
          </w:p>
          <w:p w14:paraId="2B78D7EE" w14:textId="0C30BFE5"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PGothic" w:hAnsiTheme="majorHAnsi" w:cstheme="majorHAnsi"/>
                <w:kern w:val="0"/>
                <w:szCs w:val="24"/>
              </w:rPr>
              <w:t>Porifera</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600933C" w14:textId="29965BB9"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Scleractinia</w:t>
            </w:r>
          </w:p>
        </w:tc>
      </w:tr>
      <w:tr w:rsidR="00683F65" w:rsidRPr="00241B13" w14:paraId="6D306666" w14:textId="77777777" w:rsidTr="00683F65">
        <w:trPr>
          <w:trHeight w:val="611"/>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3E6E527"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Zero</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cMar>
              <w:top w:w="15" w:type="dxa"/>
              <w:left w:w="99" w:type="dxa"/>
              <w:bottom w:w="0" w:type="dxa"/>
              <w:right w:w="99" w:type="dxa"/>
            </w:tcMar>
            <w:vAlign w:val="center"/>
            <w:hideMark/>
          </w:tcPr>
          <w:p w14:paraId="3BF1E75A"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cMar>
              <w:top w:w="15" w:type="dxa"/>
              <w:left w:w="99" w:type="dxa"/>
              <w:bottom w:w="0" w:type="dxa"/>
              <w:right w:w="99" w:type="dxa"/>
            </w:tcMar>
            <w:vAlign w:val="center"/>
            <w:hideMark/>
          </w:tcPr>
          <w:p w14:paraId="4A454DE6"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0</w:t>
            </w:r>
          </w:p>
        </w:tc>
      </w:tr>
      <w:tr w:rsidR="00683F65" w:rsidRPr="00241B13" w14:paraId="5905030C" w14:textId="77777777" w:rsidTr="00683F65">
        <w:trPr>
          <w:trHeight w:val="611"/>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4D53CBB"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Low</w:t>
            </w:r>
          </w:p>
        </w:tc>
        <w:tc>
          <w:tcPr>
            <w:tcW w:w="3119" w:type="dxa"/>
            <w:tcBorders>
              <w:top w:val="single" w:sz="8" w:space="0" w:color="000000"/>
              <w:left w:val="single" w:sz="8" w:space="0" w:color="000000"/>
              <w:bottom w:val="single" w:sz="8" w:space="0" w:color="000000"/>
              <w:right w:val="single" w:sz="8" w:space="0" w:color="000000"/>
            </w:tcBorders>
            <w:shd w:val="clear" w:color="auto" w:fill="C6E0B4"/>
            <w:tcMar>
              <w:top w:w="15" w:type="dxa"/>
              <w:left w:w="99" w:type="dxa"/>
              <w:bottom w:w="0" w:type="dxa"/>
              <w:right w:w="99" w:type="dxa"/>
            </w:tcMar>
            <w:vAlign w:val="center"/>
            <w:hideMark/>
          </w:tcPr>
          <w:p w14:paraId="3387BE81"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0 &lt; n ≤ 5</w:t>
            </w:r>
          </w:p>
        </w:tc>
        <w:tc>
          <w:tcPr>
            <w:tcW w:w="3119" w:type="dxa"/>
            <w:tcBorders>
              <w:top w:val="single" w:sz="8" w:space="0" w:color="000000"/>
              <w:left w:val="single" w:sz="8" w:space="0" w:color="000000"/>
              <w:bottom w:val="single" w:sz="8" w:space="0" w:color="000000"/>
              <w:right w:val="single" w:sz="8" w:space="0" w:color="000000"/>
            </w:tcBorders>
            <w:shd w:val="clear" w:color="auto" w:fill="C6E0B4"/>
            <w:tcMar>
              <w:top w:w="15" w:type="dxa"/>
              <w:left w:w="99" w:type="dxa"/>
              <w:bottom w:w="0" w:type="dxa"/>
              <w:right w:w="99" w:type="dxa"/>
            </w:tcMar>
            <w:vAlign w:val="center"/>
            <w:hideMark/>
          </w:tcPr>
          <w:p w14:paraId="79A43C57"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0 &lt; n ≤ 5</w:t>
            </w:r>
          </w:p>
        </w:tc>
      </w:tr>
      <w:tr w:rsidR="00683F65" w:rsidRPr="00241B13" w14:paraId="16EAF268" w14:textId="77777777" w:rsidTr="00683F65">
        <w:trPr>
          <w:trHeight w:val="743"/>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052D7CD"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Medium</w:t>
            </w:r>
          </w:p>
        </w:tc>
        <w:tc>
          <w:tcPr>
            <w:tcW w:w="3119" w:type="dxa"/>
            <w:tcBorders>
              <w:top w:val="single" w:sz="8" w:space="0" w:color="000000"/>
              <w:left w:val="single" w:sz="8" w:space="0" w:color="000000"/>
              <w:bottom w:val="single" w:sz="8" w:space="0" w:color="000000"/>
              <w:right w:val="single" w:sz="8" w:space="0" w:color="000000"/>
            </w:tcBorders>
            <w:shd w:val="clear" w:color="auto" w:fill="FFE699"/>
            <w:tcMar>
              <w:top w:w="15" w:type="dxa"/>
              <w:left w:w="99" w:type="dxa"/>
              <w:bottom w:w="0" w:type="dxa"/>
              <w:right w:w="99" w:type="dxa"/>
            </w:tcMar>
            <w:vAlign w:val="center"/>
            <w:hideMark/>
          </w:tcPr>
          <w:p w14:paraId="752D9149"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5 &lt; n ≤10</w:t>
            </w:r>
          </w:p>
        </w:tc>
        <w:tc>
          <w:tcPr>
            <w:tcW w:w="3119" w:type="dxa"/>
            <w:tcBorders>
              <w:top w:val="single" w:sz="8" w:space="0" w:color="000000"/>
              <w:left w:val="single" w:sz="8" w:space="0" w:color="000000"/>
              <w:bottom w:val="single" w:sz="8" w:space="0" w:color="000000"/>
              <w:right w:val="single" w:sz="8" w:space="0" w:color="000000"/>
            </w:tcBorders>
            <w:shd w:val="clear" w:color="auto" w:fill="FFE699"/>
            <w:tcMar>
              <w:top w:w="15" w:type="dxa"/>
              <w:left w:w="99" w:type="dxa"/>
              <w:bottom w:w="0" w:type="dxa"/>
              <w:right w:w="99" w:type="dxa"/>
            </w:tcMar>
            <w:vAlign w:val="center"/>
            <w:hideMark/>
          </w:tcPr>
          <w:p w14:paraId="702B9819"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color w:val="000000"/>
                <w:kern w:val="0"/>
                <w:szCs w:val="24"/>
              </w:rPr>
              <w:t>5 &lt;n ≤ 15</w:t>
            </w:r>
          </w:p>
        </w:tc>
      </w:tr>
      <w:tr w:rsidR="00683F65" w:rsidRPr="00241B13" w14:paraId="4B7ECE41" w14:textId="77777777" w:rsidTr="00683F65">
        <w:trPr>
          <w:trHeight w:val="611"/>
        </w:trPr>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E6238E0"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b/>
                <w:bCs/>
                <w:color w:val="FF0000"/>
                <w:kern w:val="0"/>
                <w:szCs w:val="24"/>
              </w:rPr>
              <w:t>High</w:t>
            </w:r>
          </w:p>
        </w:tc>
        <w:tc>
          <w:tcPr>
            <w:tcW w:w="3119" w:type="dxa"/>
            <w:tcBorders>
              <w:top w:val="single" w:sz="8" w:space="0" w:color="000000"/>
              <w:left w:val="single" w:sz="8" w:space="0" w:color="000000"/>
              <w:bottom w:val="single" w:sz="8" w:space="0" w:color="000000"/>
              <w:right w:val="single" w:sz="8" w:space="0" w:color="000000"/>
            </w:tcBorders>
            <w:shd w:val="clear" w:color="auto" w:fill="F8CBAD"/>
            <w:tcMar>
              <w:top w:w="15" w:type="dxa"/>
              <w:left w:w="99" w:type="dxa"/>
              <w:bottom w:w="0" w:type="dxa"/>
              <w:right w:w="99" w:type="dxa"/>
            </w:tcMar>
            <w:vAlign w:val="center"/>
            <w:hideMark/>
          </w:tcPr>
          <w:p w14:paraId="292CD2F3"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b/>
                <w:bCs/>
                <w:color w:val="FF0000"/>
                <w:kern w:val="0"/>
                <w:szCs w:val="24"/>
              </w:rPr>
              <w:t>10 &lt;</w:t>
            </w:r>
          </w:p>
        </w:tc>
        <w:tc>
          <w:tcPr>
            <w:tcW w:w="3119" w:type="dxa"/>
            <w:tcBorders>
              <w:top w:val="single" w:sz="8" w:space="0" w:color="000000"/>
              <w:left w:val="single" w:sz="8" w:space="0" w:color="000000"/>
              <w:bottom w:val="single" w:sz="8" w:space="0" w:color="000000"/>
              <w:right w:val="single" w:sz="8" w:space="0" w:color="000000"/>
            </w:tcBorders>
            <w:shd w:val="clear" w:color="auto" w:fill="F8CBAD"/>
            <w:tcMar>
              <w:top w:w="15" w:type="dxa"/>
              <w:left w:w="99" w:type="dxa"/>
              <w:bottom w:w="0" w:type="dxa"/>
              <w:right w:w="99" w:type="dxa"/>
            </w:tcMar>
            <w:vAlign w:val="center"/>
            <w:hideMark/>
          </w:tcPr>
          <w:p w14:paraId="37A58B7F" w14:textId="77777777" w:rsidR="00683F65" w:rsidRPr="00241B13" w:rsidRDefault="00683F65" w:rsidP="00496840">
            <w:pPr>
              <w:widowControl/>
              <w:jc w:val="center"/>
              <w:rPr>
                <w:rFonts w:asciiTheme="majorHAnsi" w:eastAsia="MS PGothic" w:hAnsiTheme="majorHAnsi" w:cstheme="majorHAnsi"/>
                <w:kern w:val="0"/>
                <w:szCs w:val="24"/>
              </w:rPr>
            </w:pPr>
            <w:r w:rsidRPr="00241B13">
              <w:rPr>
                <w:rFonts w:asciiTheme="majorHAnsi" w:eastAsia="MS Gothic" w:hAnsiTheme="majorHAnsi" w:cstheme="majorHAnsi"/>
                <w:b/>
                <w:bCs/>
                <w:color w:val="FF0000"/>
                <w:kern w:val="0"/>
                <w:szCs w:val="24"/>
              </w:rPr>
              <w:t>15 &lt;</w:t>
            </w:r>
          </w:p>
        </w:tc>
      </w:tr>
    </w:tbl>
    <w:p w14:paraId="5ABB7B17" w14:textId="77777777" w:rsidR="00D94122" w:rsidRDefault="00D94122" w:rsidP="00D94122">
      <w:pPr>
        <w:pStyle w:val="BodyText"/>
      </w:pPr>
    </w:p>
    <w:p w14:paraId="26B4A069" w14:textId="77777777" w:rsidR="00D94122" w:rsidRPr="00241B13" w:rsidRDefault="00D94122" w:rsidP="00241B13">
      <w:pPr>
        <w:pStyle w:val="BodyText"/>
        <w:ind w:left="0"/>
        <w:rPr>
          <w:rFonts w:eastAsiaTheme="minorEastAsia"/>
          <w:lang w:eastAsia="ja-JP"/>
        </w:rPr>
      </w:pPr>
    </w:p>
    <w:p w14:paraId="17A7F8E5" w14:textId="77777777" w:rsidR="000C59D9" w:rsidRDefault="000C59D9" w:rsidP="00F85937">
      <w:pPr>
        <w:spacing w:line="276" w:lineRule="auto"/>
        <w:jc w:val="left"/>
        <w:rPr>
          <w:b/>
          <w:bCs/>
        </w:rPr>
      </w:pPr>
      <w:r w:rsidRPr="008C3F03">
        <w:rPr>
          <w:rFonts w:hint="eastAsia"/>
          <w:b/>
          <w:bCs/>
        </w:rPr>
        <w:t>Methods</w:t>
      </w:r>
    </w:p>
    <w:p w14:paraId="74F99957" w14:textId="6F7CF77F" w:rsidR="00A956ED" w:rsidRPr="00A956ED" w:rsidRDefault="00A956ED" w:rsidP="00F85937">
      <w:pPr>
        <w:spacing w:line="276" w:lineRule="auto"/>
      </w:pPr>
      <w:r w:rsidRPr="00A956ED">
        <w:t xml:space="preserve">Our analysis focused on five taxonomic groups (soft corals, Antipatharia, </w:t>
      </w:r>
      <w:r w:rsidR="000F3581">
        <w:rPr>
          <w:rFonts w:hint="eastAsia"/>
        </w:rPr>
        <w:t>g</w:t>
      </w:r>
      <w:r w:rsidRPr="00A956ED">
        <w:t xml:space="preserve">orgonians, Scleractinia, Porifera) out of six “VME indicator taxa” in the convention text of the </w:t>
      </w:r>
      <w:r w:rsidR="00683F65">
        <w:t xml:space="preserve">North Pacific Fisheries Commission </w:t>
      </w:r>
      <w:r w:rsidR="00683F65">
        <w:rPr>
          <w:rFonts w:hint="eastAsia"/>
        </w:rPr>
        <w:t>(</w:t>
      </w:r>
      <w:r w:rsidRPr="00A956ED">
        <w:t>NPFC</w:t>
      </w:r>
      <w:r w:rsidR="00683F65">
        <w:rPr>
          <w:rFonts w:hint="eastAsia"/>
        </w:rPr>
        <w:t>;</w:t>
      </w:r>
      <w:r w:rsidRPr="00A956ED">
        <w:t xml:space="preserve"> CMM 202</w:t>
      </w:r>
      <w:r w:rsidR="00E04998">
        <w:rPr>
          <w:rFonts w:hint="eastAsia"/>
        </w:rPr>
        <w:t>4</w:t>
      </w:r>
      <w:r w:rsidRPr="00A956ED">
        <w:t>-05</w:t>
      </w:r>
      <w:r w:rsidR="00683F65">
        <w:rPr>
          <w:rFonts w:hint="eastAsia"/>
        </w:rPr>
        <w:t>, CMM 2024-06</w:t>
      </w:r>
      <w:r w:rsidRPr="00A956ED">
        <w:t xml:space="preserve">). </w:t>
      </w:r>
      <w:r w:rsidR="00A57AB3">
        <w:rPr>
          <w:rFonts w:hint="eastAsia"/>
        </w:rPr>
        <w:t>T</w:t>
      </w:r>
      <w:r>
        <w:t>h</w:t>
      </w:r>
      <w:r>
        <w:rPr>
          <w:rFonts w:hint="eastAsia"/>
        </w:rPr>
        <w:t>e occurrence of</w:t>
      </w:r>
      <w:r w:rsidRPr="00A956ED">
        <w:t xml:space="preserve"> </w:t>
      </w:r>
      <w:r w:rsidR="000F3581">
        <w:rPr>
          <w:rFonts w:hint="eastAsia"/>
        </w:rPr>
        <w:t>p</w:t>
      </w:r>
      <w:r w:rsidRPr="00A956ED">
        <w:t xml:space="preserve">ennatulacean, an </w:t>
      </w:r>
      <w:proofErr w:type="spellStart"/>
      <w:r w:rsidRPr="00A956ED">
        <w:t>octocorallian</w:t>
      </w:r>
      <w:proofErr w:type="spellEnd"/>
      <w:r w:rsidRPr="00A956ED">
        <w:t xml:space="preserve"> taxon included in the list of VME indicator taxa </w:t>
      </w:r>
      <w:r w:rsidR="00833636">
        <w:t>by</w:t>
      </w:r>
      <w:r w:rsidR="00833636" w:rsidRPr="00A956ED">
        <w:t xml:space="preserve"> </w:t>
      </w:r>
      <w:r w:rsidRPr="00A956ED">
        <w:t xml:space="preserve">the </w:t>
      </w:r>
      <w:r w:rsidR="00A57AB3">
        <w:t>commission</w:t>
      </w:r>
      <w:r w:rsidRPr="00A956ED">
        <w:t xml:space="preserve"> since 2023, </w:t>
      </w:r>
      <w:r>
        <w:rPr>
          <w:rFonts w:hint="eastAsia"/>
        </w:rPr>
        <w:t xml:space="preserve">is very limited </w:t>
      </w:r>
      <w:r w:rsidRPr="00A956ED">
        <w:t xml:space="preserve">in the NW </w:t>
      </w:r>
      <w:r w:rsidR="000F3581">
        <w:rPr>
          <w:rFonts w:hint="eastAsia"/>
        </w:rPr>
        <w:t xml:space="preserve">Convention Area </w:t>
      </w:r>
      <w:r w:rsidR="007A516D">
        <w:rPr>
          <w:rFonts w:hint="eastAsia"/>
        </w:rPr>
        <w:t>(</w:t>
      </w:r>
      <w:r w:rsidR="00C623CB">
        <w:rPr>
          <w:rFonts w:hint="eastAsia"/>
        </w:rPr>
        <w:t xml:space="preserve">total </w:t>
      </w:r>
      <w:r w:rsidR="007A516D">
        <w:rPr>
          <w:rFonts w:hint="eastAsia"/>
        </w:rPr>
        <w:t>n</w:t>
      </w:r>
      <w:r w:rsidR="00C623CB">
        <w:rPr>
          <w:rFonts w:hint="eastAsia"/>
        </w:rPr>
        <w:t>umber</w:t>
      </w:r>
      <w:r w:rsidR="007A516D">
        <w:rPr>
          <w:rFonts w:hint="eastAsia"/>
        </w:rPr>
        <w:t xml:space="preserve"> </w:t>
      </w:r>
      <w:r w:rsidR="00C623CB">
        <w:rPr>
          <w:rFonts w:hint="eastAsia"/>
        </w:rPr>
        <w:t xml:space="preserve">of </w:t>
      </w:r>
      <w:r w:rsidR="00B92E9F">
        <w:rPr>
          <w:rFonts w:hint="eastAsia"/>
        </w:rPr>
        <w:t>p</w:t>
      </w:r>
      <w:r w:rsidR="007A516D">
        <w:t>ennatulacea</w:t>
      </w:r>
      <w:r w:rsidR="00B92E9F">
        <w:rPr>
          <w:rFonts w:hint="eastAsia"/>
        </w:rPr>
        <w:t>ns-presence data</w:t>
      </w:r>
      <w:r w:rsidR="007A516D">
        <w:rPr>
          <w:rFonts w:hint="eastAsia"/>
        </w:rPr>
        <w:t xml:space="preserve"> </w:t>
      </w:r>
      <w:r w:rsidR="00C623CB">
        <w:rPr>
          <w:rFonts w:hint="eastAsia"/>
        </w:rPr>
        <w:t>=</w:t>
      </w:r>
      <w:r w:rsidR="007A516D">
        <w:rPr>
          <w:rFonts w:hint="eastAsia"/>
        </w:rPr>
        <w:t xml:space="preserve"> </w:t>
      </w:r>
      <w:r w:rsidR="00C623CB">
        <w:rPr>
          <w:rFonts w:hint="eastAsia"/>
        </w:rPr>
        <w:t>17</w:t>
      </w:r>
      <w:r w:rsidR="007A516D">
        <w:rPr>
          <w:rFonts w:hint="eastAsia"/>
        </w:rPr>
        <w:t>)</w:t>
      </w:r>
      <w:r w:rsidR="00A57AB3">
        <w:rPr>
          <w:rFonts w:hint="eastAsia"/>
        </w:rPr>
        <w:t>.</w:t>
      </w:r>
      <w:r w:rsidR="007A516D">
        <w:rPr>
          <w:rFonts w:hint="eastAsia"/>
        </w:rPr>
        <w:t xml:space="preserve"> </w:t>
      </w:r>
      <w:r w:rsidR="000F3581">
        <w:rPr>
          <w:rFonts w:hint="eastAsia"/>
        </w:rPr>
        <w:t>W</w:t>
      </w:r>
      <w:r>
        <w:rPr>
          <w:rFonts w:hint="eastAsia"/>
        </w:rPr>
        <w:t xml:space="preserve">e decided to eliminate </w:t>
      </w:r>
      <w:r w:rsidR="00683F65">
        <w:t>this taxon</w:t>
      </w:r>
      <w:r>
        <w:rPr>
          <w:rFonts w:hint="eastAsia"/>
        </w:rPr>
        <w:t xml:space="preserve"> from</w:t>
      </w:r>
      <w:r w:rsidR="00683F65">
        <w:rPr>
          <w:rFonts w:hint="eastAsia"/>
        </w:rPr>
        <w:t xml:space="preserve"> </w:t>
      </w:r>
      <w:r w:rsidR="00A57AB3">
        <w:t>further</w:t>
      </w:r>
      <w:r w:rsidR="00683F65">
        <w:rPr>
          <w:rFonts w:hint="eastAsia"/>
        </w:rPr>
        <w:t xml:space="preserve"> assessments</w:t>
      </w:r>
      <w:r w:rsidR="000F3581">
        <w:rPr>
          <w:rFonts w:hint="eastAsia"/>
        </w:rPr>
        <w:t xml:space="preserve"> due to </w:t>
      </w:r>
      <w:r w:rsidR="000F3581">
        <w:t>the</w:t>
      </w:r>
      <w:r w:rsidR="000F3581">
        <w:rPr>
          <w:rFonts w:hint="eastAsia"/>
        </w:rPr>
        <w:t xml:space="preserve"> lack of sufficient data</w:t>
      </w:r>
      <w:r w:rsidRPr="00A956ED">
        <w:t xml:space="preserve">. </w:t>
      </w:r>
      <w:r w:rsidR="00683F65">
        <w:rPr>
          <w:rFonts w:hint="eastAsia"/>
        </w:rPr>
        <w:t>For</w:t>
      </w:r>
      <w:r w:rsidR="00241B13">
        <w:rPr>
          <w:rFonts w:hint="eastAsia"/>
        </w:rPr>
        <w:t xml:space="preserve"> classifying</w:t>
      </w:r>
      <w:r w:rsidR="00683F65">
        <w:rPr>
          <w:rFonts w:hint="eastAsia"/>
        </w:rPr>
        <w:t xml:space="preserve"> cold-water corals into four</w:t>
      </w:r>
      <w:r w:rsidR="00241B13">
        <w:rPr>
          <w:rFonts w:hint="eastAsia"/>
        </w:rPr>
        <w:t xml:space="preserve"> groups</w:t>
      </w:r>
      <w:r w:rsidR="00683F65">
        <w:rPr>
          <w:rFonts w:hint="eastAsia"/>
        </w:rPr>
        <w:t xml:space="preserve"> </w:t>
      </w:r>
      <w:r w:rsidR="00683F65" w:rsidRPr="00A956ED">
        <w:t xml:space="preserve">(Antipatharia, Scleractinia, </w:t>
      </w:r>
      <w:r w:rsidR="00683F65">
        <w:rPr>
          <w:rFonts w:hint="eastAsia"/>
        </w:rPr>
        <w:t>g</w:t>
      </w:r>
      <w:r w:rsidR="00683F65" w:rsidRPr="00A956ED">
        <w:t>orgonians, and soft corals)</w:t>
      </w:r>
      <w:r w:rsidR="00683F65">
        <w:rPr>
          <w:rFonts w:hint="eastAsia"/>
        </w:rPr>
        <w:t>, w</w:t>
      </w:r>
      <w:r w:rsidRPr="00A956ED">
        <w:t xml:space="preserve">e followed the translation table (Yamaguchi et al., 2024). </w:t>
      </w:r>
      <w:proofErr w:type="spellStart"/>
      <w:r w:rsidR="00683F65" w:rsidRPr="00683F65">
        <w:t>Hexactinellida</w:t>
      </w:r>
      <w:proofErr w:type="spellEnd"/>
      <w:r w:rsidR="00683F65" w:rsidRPr="00683F65">
        <w:t xml:space="preserve"> (glass) sponges and Demospongiae </w:t>
      </w:r>
      <w:r w:rsidR="00241B13">
        <w:rPr>
          <w:rFonts w:hint="eastAsia"/>
        </w:rPr>
        <w:t>were</w:t>
      </w:r>
      <w:r w:rsidR="00683F65">
        <w:rPr>
          <w:rFonts w:hint="eastAsia"/>
        </w:rPr>
        <w:t xml:space="preserve"> classified </w:t>
      </w:r>
      <w:r w:rsidR="000F3581">
        <w:rPr>
          <w:rFonts w:hint="eastAsia"/>
        </w:rPr>
        <w:t>as</w:t>
      </w:r>
      <w:r w:rsidR="00683F65" w:rsidRPr="00683F65">
        <w:t xml:space="preserve"> the phylum Porifera</w:t>
      </w:r>
      <w:r w:rsidR="000F3581">
        <w:rPr>
          <w:rFonts w:hint="eastAsia"/>
        </w:rPr>
        <w:t xml:space="preserve">, as it is difficult to identify sponges </w:t>
      </w:r>
      <w:r w:rsidR="003F7110">
        <w:t>to</w:t>
      </w:r>
      <w:r w:rsidR="003F7110">
        <w:rPr>
          <w:rFonts w:hint="eastAsia"/>
        </w:rPr>
        <w:t xml:space="preserve"> </w:t>
      </w:r>
      <w:r w:rsidR="000F3581">
        <w:rPr>
          <w:rFonts w:hint="eastAsia"/>
        </w:rPr>
        <w:t>the class level by visual surveys</w:t>
      </w:r>
      <w:r w:rsidR="00683F65">
        <w:rPr>
          <w:rFonts w:hint="eastAsia"/>
        </w:rPr>
        <w:t>.</w:t>
      </w:r>
    </w:p>
    <w:p w14:paraId="621C638D" w14:textId="49E36C9D" w:rsidR="00A956ED" w:rsidRDefault="008C1A54" w:rsidP="002763F4">
      <w:pPr>
        <w:spacing w:line="276" w:lineRule="auto"/>
        <w:ind w:firstLine="525"/>
        <w:jc w:val="left"/>
      </w:pPr>
      <w:r w:rsidRPr="008C1A54">
        <w:t>In total, 1</w:t>
      </w:r>
      <w:r w:rsidR="00A57AB3">
        <w:rPr>
          <w:rFonts w:hint="eastAsia"/>
        </w:rPr>
        <w:t>,</w:t>
      </w:r>
      <w:r w:rsidRPr="008C1A54">
        <w:t>759 (with/without VME indicator taxa) point</w:t>
      </w:r>
      <w:r w:rsidR="003F7110">
        <w:t>s of</w:t>
      </w:r>
      <w:r w:rsidRPr="008C1A54">
        <w:t xml:space="preserve"> visual survey data collected in Emperor Seamounts via R/V Kaiyo-Maru from 2009 to 2024 were used for the evaluation. Firstly, data with no VME indicator taxa (which will be categorized into</w:t>
      </w:r>
      <w:r w:rsidR="008E7CF5">
        <w:t xml:space="preserve"> the</w:t>
      </w:r>
      <w:r w:rsidRPr="008C1A54">
        <w:t xml:space="preserve"> "Zero" category for </w:t>
      </w:r>
      <w:r w:rsidR="006C6FBD">
        <w:rPr>
          <w:rFonts w:hint="eastAsia"/>
        </w:rPr>
        <w:t xml:space="preserve">the </w:t>
      </w:r>
      <w:r w:rsidRPr="008C1A54">
        <w:t xml:space="preserve">density classification) and/or data with no </w:t>
      </w:r>
      <w:r w:rsidR="006C6FBD">
        <w:rPr>
          <w:rFonts w:hint="eastAsia"/>
        </w:rPr>
        <w:t xml:space="preserve">density records </w:t>
      </w:r>
      <w:r w:rsidRPr="008C1A54">
        <w:t>were excluded. For faster and easier evaluation in the field, we evaluated all density data based on the visual angle, thus the following assessments were done based on the same unit of density (no. individuals per 7.5m</w:t>
      </w:r>
      <w:r w:rsidRPr="006C6FBD">
        <w:rPr>
          <w:vertAlign w:val="superscript"/>
        </w:rPr>
        <w:t>2</w:t>
      </w:r>
      <w:r w:rsidRPr="008C1A54">
        <w:t>). As our method is categorizing VME</w:t>
      </w:r>
      <w:r w:rsidR="007771B8">
        <w:t xml:space="preserve"> </w:t>
      </w:r>
      <w:r w:rsidRPr="008C1A54">
        <w:t>indicator</w:t>
      </w:r>
      <w:r w:rsidR="007771B8">
        <w:t xml:space="preserve"> </w:t>
      </w:r>
      <w:r w:rsidRPr="008C1A54">
        <w:t xml:space="preserve">presence data into three levels with two breaking points (Low, Medium, and High), we applied 2-parameter segmented regression to the cumulative </w:t>
      </w:r>
      <w:r w:rsidRPr="008C1A54">
        <w:lastRenderedPageBreak/>
        <w:t xml:space="preserve">frequency distribution </w:t>
      </w:r>
      <w:r w:rsidR="000A0308">
        <w:t>for</w:t>
      </w:r>
      <w:r w:rsidR="000A0308" w:rsidRPr="008C1A54">
        <w:t xml:space="preserve"> </w:t>
      </w:r>
      <w:r w:rsidRPr="008C1A54">
        <w:t xml:space="preserve">the density of </w:t>
      </w:r>
      <w:r w:rsidR="006C6FBD">
        <w:rPr>
          <w:rFonts w:hint="eastAsia"/>
        </w:rPr>
        <w:t xml:space="preserve">each </w:t>
      </w:r>
      <w:r w:rsidRPr="008C1A54">
        <w:t xml:space="preserve">VME indicator taxa and </w:t>
      </w:r>
      <w:r w:rsidR="000A0308" w:rsidRPr="008C1A54">
        <w:t>figur</w:t>
      </w:r>
      <w:r w:rsidR="000A0308">
        <w:t>ed</w:t>
      </w:r>
      <w:r w:rsidR="000A0308" w:rsidRPr="008C1A54">
        <w:t xml:space="preserve"> </w:t>
      </w:r>
      <w:r w:rsidRPr="008C1A54">
        <w:t xml:space="preserve">out the changing points of density cumulative curves. Fitting of segmented regressions for the VME indicator data was completed using the segmented package in R </w:t>
      </w:r>
      <w:r w:rsidR="00BF304C">
        <w:rPr>
          <w:rFonts w:hint="eastAsia"/>
        </w:rPr>
        <w:t xml:space="preserve">ver. 4.4.1 </w:t>
      </w:r>
      <w:r w:rsidRPr="008C1A54">
        <w:t>(Vito and Muggeo 2008, R Core Team 2022).</w:t>
      </w:r>
    </w:p>
    <w:p w14:paraId="56F1C119" w14:textId="77777777" w:rsidR="00800EF7" w:rsidRPr="00BF304C" w:rsidRDefault="00800EF7" w:rsidP="00F85937">
      <w:pPr>
        <w:spacing w:line="276" w:lineRule="auto"/>
        <w:jc w:val="left"/>
      </w:pPr>
    </w:p>
    <w:p w14:paraId="39304B63" w14:textId="77777777" w:rsidR="00F85937" w:rsidRPr="00800EF7" w:rsidRDefault="00F85937" w:rsidP="00F85937">
      <w:pPr>
        <w:spacing w:line="276" w:lineRule="auto"/>
        <w:jc w:val="left"/>
      </w:pPr>
    </w:p>
    <w:p w14:paraId="7CF32A3A" w14:textId="152E0261" w:rsidR="000C59D9" w:rsidRPr="000C59D9" w:rsidRDefault="000C59D9" w:rsidP="00F85937">
      <w:pPr>
        <w:pStyle w:val="BodyText"/>
        <w:spacing w:line="276" w:lineRule="auto"/>
        <w:ind w:left="0"/>
        <w:rPr>
          <w:rFonts w:eastAsiaTheme="minorEastAsia"/>
          <w:lang w:eastAsia="ja-JP"/>
        </w:rPr>
      </w:pPr>
      <w:r w:rsidRPr="008C3F03">
        <w:rPr>
          <w:rFonts w:hint="eastAsia"/>
          <w:b/>
          <w:bCs/>
        </w:rPr>
        <w:t>Results &amp; Discussion</w:t>
      </w:r>
    </w:p>
    <w:p w14:paraId="30D55075" w14:textId="0531B1B1" w:rsidR="00D92F76" w:rsidRDefault="00061FD2" w:rsidP="00E7314C">
      <w:pPr>
        <w:pStyle w:val="BodyText"/>
        <w:spacing w:line="276" w:lineRule="auto"/>
        <w:ind w:left="0"/>
        <w:rPr>
          <w:rFonts w:eastAsiaTheme="minorEastAsia"/>
          <w:lang w:eastAsia="ja-JP"/>
        </w:rPr>
      </w:pPr>
      <w:r>
        <w:rPr>
          <w:rFonts w:eastAsiaTheme="minorEastAsia" w:hint="eastAsia"/>
          <w:lang w:eastAsia="ja-JP"/>
        </w:rPr>
        <w:t>The estimated breaking-point density values</w:t>
      </w:r>
      <w:r w:rsidR="00F85937" w:rsidRPr="00F85937">
        <w:rPr>
          <w:rFonts w:eastAsiaTheme="minorEastAsia"/>
          <w:lang w:eastAsia="ja-JP"/>
        </w:rPr>
        <w:t xml:space="preserve"> were </w:t>
      </w:r>
      <w:r>
        <w:rPr>
          <w:rFonts w:eastAsiaTheme="minorEastAsia" w:hint="eastAsia"/>
          <w:lang w:eastAsia="ja-JP"/>
        </w:rPr>
        <w:t>comparable</w:t>
      </w:r>
      <w:r w:rsidR="00F85937" w:rsidRPr="00F85937">
        <w:rPr>
          <w:rFonts w:eastAsiaTheme="minorEastAsia"/>
          <w:lang w:eastAsia="ja-JP"/>
        </w:rPr>
        <w:t xml:space="preserve"> with the </w:t>
      </w:r>
      <w:r w:rsidR="006C6FBD">
        <w:rPr>
          <w:rFonts w:eastAsiaTheme="minorEastAsia" w:hint="eastAsia"/>
          <w:lang w:eastAsia="ja-JP"/>
        </w:rPr>
        <w:t xml:space="preserve">current </w:t>
      </w:r>
      <w:r w:rsidR="00F85937" w:rsidRPr="00F85937">
        <w:rPr>
          <w:rFonts w:eastAsiaTheme="minorEastAsia"/>
          <w:lang w:eastAsia="ja-JP"/>
        </w:rPr>
        <w:t>density-levels (</w:t>
      </w:r>
      <w:r w:rsidR="002763F4">
        <w:rPr>
          <w:rFonts w:eastAsiaTheme="minorEastAsia" w:hint="eastAsia"/>
          <w:lang w:eastAsia="ja-JP"/>
        </w:rPr>
        <w:t xml:space="preserve">Fig. 1, </w:t>
      </w:r>
      <w:r w:rsidR="00F85937" w:rsidRPr="00F85937">
        <w:rPr>
          <w:rFonts w:eastAsiaTheme="minorEastAsia"/>
          <w:lang w:eastAsia="ja-JP"/>
        </w:rPr>
        <w:t xml:space="preserve">Table 1, 2). For example, </w:t>
      </w:r>
      <w:r w:rsidR="00A57AB3">
        <w:rPr>
          <w:rFonts w:eastAsiaTheme="minorEastAsia" w:hint="eastAsia"/>
          <w:lang w:eastAsia="ja-JP"/>
        </w:rPr>
        <w:t xml:space="preserve">in </w:t>
      </w:r>
      <w:r w:rsidR="00F85937" w:rsidRPr="00F85937">
        <w:rPr>
          <w:rFonts w:eastAsiaTheme="minorEastAsia"/>
          <w:lang w:eastAsia="ja-JP"/>
        </w:rPr>
        <w:t xml:space="preserve">Porifera, whose </w:t>
      </w:r>
      <w:r w:rsidR="006C6FBD">
        <w:rPr>
          <w:rFonts w:eastAsiaTheme="minorEastAsia" w:hint="eastAsia"/>
          <w:lang w:eastAsia="ja-JP"/>
        </w:rPr>
        <w:t xml:space="preserve">current </w:t>
      </w:r>
      <w:r w:rsidR="00F85937" w:rsidRPr="00F85937">
        <w:rPr>
          <w:rFonts w:eastAsiaTheme="minorEastAsia"/>
          <w:lang w:eastAsia="ja-JP"/>
        </w:rPr>
        <w:t xml:space="preserve">density levels having the </w:t>
      </w:r>
      <w:r>
        <w:rPr>
          <w:rFonts w:eastAsiaTheme="minorEastAsia" w:hint="eastAsia"/>
          <w:lang w:eastAsia="ja-JP"/>
        </w:rPr>
        <w:t>thresholds of</w:t>
      </w:r>
      <w:r w:rsidR="00F85937" w:rsidRPr="00F85937">
        <w:rPr>
          <w:rFonts w:eastAsiaTheme="minorEastAsia"/>
          <w:lang w:eastAsia="ja-JP"/>
        </w:rPr>
        <w:t xml:space="preserve"> 5 and 10, first and second</w:t>
      </w:r>
      <w:r w:rsidR="006C6FBD">
        <w:rPr>
          <w:rFonts w:eastAsiaTheme="minorEastAsia" w:hint="eastAsia"/>
          <w:lang w:eastAsia="ja-JP"/>
        </w:rPr>
        <w:t xml:space="preserve"> </w:t>
      </w:r>
      <w:r w:rsidR="006C6FBD">
        <w:rPr>
          <w:rFonts w:eastAsiaTheme="minorEastAsia"/>
          <w:lang w:eastAsia="ja-JP"/>
        </w:rPr>
        <w:t>segmented</w:t>
      </w:r>
      <w:r w:rsidR="00F85937" w:rsidRPr="00F85937">
        <w:rPr>
          <w:rFonts w:eastAsiaTheme="minorEastAsia"/>
          <w:lang w:eastAsia="ja-JP"/>
        </w:rPr>
        <w:t xml:space="preserve"> points of the </w:t>
      </w:r>
      <w:r w:rsidR="006C6FBD">
        <w:rPr>
          <w:rFonts w:eastAsiaTheme="minorEastAsia" w:hint="eastAsia"/>
          <w:lang w:eastAsia="ja-JP"/>
        </w:rPr>
        <w:t xml:space="preserve">fitted </w:t>
      </w:r>
      <w:r w:rsidR="00F85937" w:rsidRPr="00F85937">
        <w:rPr>
          <w:rFonts w:eastAsiaTheme="minorEastAsia"/>
          <w:lang w:eastAsia="ja-JP"/>
        </w:rPr>
        <w:t>regressions appeared in 3.32 and 10.42 individuals/7.5m</w:t>
      </w:r>
      <w:r w:rsidR="00F85937" w:rsidRPr="00A222B1">
        <w:rPr>
          <w:rFonts w:eastAsiaTheme="minorEastAsia"/>
          <w:vertAlign w:val="superscript"/>
          <w:lang w:eastAsia="ja-JP"/>
        </w:rPr>
        <w:t>2</w:t>
      </w:r>
      <w:r w:rsidR="00F85937" w:rsidRPr="00F85937">
        <w:rPr>
          <w:rFonts w:eastAsiaTheme="minorEastAsia"/>
          <w:lang w:eastAsia="ja-JP"/>
        </w:rPr>
        <w:t xml:space="preserve">, respectively. In gorgonians and Antipatharia, their second </w:t>
      </w:r>
      <w:r w:rsidR="006C6FBD">
        <w:rPr>
          <w:rFonts w:eastAsiaTheme="minorEastAsia" w:hint="eastAsia"/>
          <w:lang w:eastAsia="ja-JP"/>
        </w:rPr>
        <w:t>segmented</w:t>
      </w:r>
      <w:r w:rsidR="00F85937" w:rsidRPr="00F85937">
        <w:rPr>
          <w:rFonts w:eastAsiaTheme="minorEastAsia"/>
          <w:lang w:eastAsia="ja-JP"/>
        </w:rPr>
        <w:t xml:space="preserve"> points of the regressions appeared at larger</w:t>
      </w:r>
      <w:r w:rsidR="00A57AB3">
        <w:rPr>
          <w:rFonts w:eastAsiaTheme="minorEastAsia" w:hint="eastAsia"/>
          <w:lang w:eastAsia="ja-JP"/>
        </w:rPr>
        <w:t xml:space="preserve"> value</w:t>
      </w:r>
      <w:r w:rsidR="00F85937" w:rsidRPr="00F85937">
        <w:rPr>
          <w:rFonts w:eastAsiaTheme="minorEastAsia"/>
          <w:lang w:eastAsia="ja-JP"/>
        </w:rPr>
        <w:t>s (23.45 and 15.89 individuals/7.5m</w:t>
      </w:r>
      <w:r w:rsidR="00F85937" w:rsidRPr="00A222B1">
        <w:rPr>
          <w:rFonts w:eastAsiaTheme="minorEastAsia"/>
          <w:vertAlign w:val="superscript"/>
          <w:lang w:eastAsia="ja-JP"/>
        </w:rPr>
        <w:t>2</w:t>
      </w:r>
      <w:r w:rsidR="00F85937" w:rsidRPr="00F85937">
        <w:rPr>
          <w:rFonts w:eastAsiaTheme="minorEastAsia"/>
          <w:lang w:eastAsia="ja-JP"/>
        </w:rPr>
        <w:t>, respectively) than the</w:t>
      </w:r>
      <w:r w:rsidR="006C6FBD">
        <w:rPr>
          <w:rFonts w:eastAsiaTheme="minorEastAsia" w:hint="eastAsia"/>
          <w:lang w:eastAsia="ja-JP"/>
        </w:rPr>
        <w:t xml:space="preserve"> current</w:t>
      </w:r>
      <w:r w:rsidR="00F85937" w:rsidRPr="00F85937">
        <w:rPr>
          <w:rFonts w:eastAsiaTheme="minorEastAsia"/>
          <w:lang w:eastAsia="ja-JP"/>
        </w:rPr>
        <w:t xml:space="preserve"> ones (10 individuals/7.5m</w:t>
      </w:r>
      <w:r w:rsidR="00F85937" w:rsidRPr="00A222B1">
        <w:rPr>
          <w:rFonts w:eastAsiaTheme="minorEastAsia"/>
          <w:vertAlign w:val="superscript"/>
          <w:lang w:eastAsia="ja-JP"/>
        </w:rPr>
        <w:t>2</w:t>
      </w:r>
      <w:r w:rsidR="00F85937" w:rsidRPr="00F85937">
        <w:rPr>
          <w:rFonts w:eastAsiaTheme="minorEastAsia"/>
          <w:lang w:eastAsia="ja-JP"/>
        </w:rPr>
        <w:t xml:space="preserve"> for both taxa). </w:t>
      </w:r>
      <w:r w:rsidR="00612645" w:rsidRPr="00F85937">
        <w:rPr>
          <w:rFonts w:eastAsiaTheme="minorEastAsia"/>
          <w:lang w:eastAsia="ja-JP"/>
        </w:rPr>
        <w:t>Th</w:t>
      </w:r>
      <w:r w:rsidR="00612645">
        <w:rPr>
          <w:rFonts w:eastAsiaTheme="minorEastAsia"/>
          <w:lang w:eastAsia="ja-JP"/>
        </w:rPr>
        <w:t>e</w:t>
      </w:r>
      <w:r w:rsidR="00612645" w:rsidRPr="00F85937">
        <w:rPr>
          <w:rFonts w:eastAsiaTheme="minorEastAsia"/>
          <w:lang w:eastAsia="ja-JP"/>
        </w:rPr>
        <w:t xml:space="preserve">se </w:t>
      </w:r>
      <w:r w:rsidR="00F85937" w:rsidRPr="00F85937">
        <w:rPr>
          <w:rFonts w:eastAsiaTheme="minorEastAsia"/>
          <w:lang w:eastAsia="ja-JP"/>
        </w:rPr>
        <w:t xml:space="preserve">results imply that the current density levels are mostly set at the appropriate, or even much more precautional, levels. For Scleractinia, though, our calculated </w:t>
      </w:r>
      <w:r w:rsidR="00A57AB3">
        <w:rPr>
          <w:rFonts w:eastAsiaTheme="minorEastAsia" w:hint="eastAsia"/>
          <w:lang w:eastAsia="ja-JP"/>
        </w:rPr>
        <w:t>value</w:t>
      </w:r>
      <w:r w:rsidR="00F85937" w:rsidRPr="00F85937">
        <w:rPr>
          <w:rFonts w:eastAsiaTheme="minorEastAsia"/>
          <w:lang w:eastAsia="ja-JP"/>
        </w:rPr>
        <w:t>s were slightly lower than the current</w:t>
      </w:r>
      <w:r w:rsidR="00A57AB3">
        <w:rPr>
          <w:rFonts w:eastAsiaTheme="minorEastAsia" w:hint="eastAsia"/>
          <w:lang w:eastAsia="ja-JP"/>
        </w:rPr>
        <w:t xml:space="preserve"> ones</w:t>
      </w:r>
      <w:r w:rsidR="00F85937" w:rsidRPr="00F85937">
        <w:rPr>
          <w:rFonts w:eastAsiaTheme="minorEastAsia"/>
          <w:lang w:eastAsia="ja-JP"/>
        </w:rPr>
        <w:t xml:space="preserve">, nevertheless, this difference </w:t>
      </w:r>
      <w:r w:rsidR="00A57AB3">
        <w:rPr>
          <w:rFonts w:eastAsiaTheme="minorEastAsia" w:hint="eastAsia"/>
          <w:lang w:eastAsia="ja-JP"/>
        </w:rPr>
        <w:t>was</w:t>
      </w:r>
      <w:r w:rsidR="00F85937" w:rsidRPr="00F85937">
        <w:rPr>
          <w:rFonts w:eastAsiaTheme="minorEastAsia"/>
          <w:lang w:eastAsia="ja-JP"/>
        </w:rPr>
        <w:t xml:space="preserve"> less than 5.</w:t>
      </w:r>
      <w:r w:rsidR="00F85937">
        <w:rPr>
          <w:rFonts w:eastAsiaTheme="minorEastAsia" w:hint="eastAsia"/>
          <w:lang w:eastAsia="ja-JP"/>
        </w:rPr>
        <w:t xml:space="preserve"> The lowest value was observed for soft corals, whose first and second segmented point</w:t>
      </w:r>
      <w:r w:rsidR="00B21C47">
        <w:rPr>
          <w:rFonts w:eastAsiaTheme="minorEastAsia"/>
          <w:lang w:eastAsia="ja-JP"/>
        </w:rPr>
        <w:t>s</w:t>
      </w:r>
      <w:r w:rsidR="00F85937">
        <w:rPr>
          <w:rFonts w:eastAsiaTheme="minorEastAsia" w:hint="eastAsia"/>
          <w:lang w:eastAsia="ja-JP"/>
        </w:rPr>
        <w:t xml:space="preserve"> were observed </w:t>
      </w:r>
      <w:r w:rsidR="006C6FBD">
        <w:rPr>
          <w:rFonts w:eastAsiaTheme="minorEastAsia" w:hint="eastAsia"/>
          <w:lang w:eastAsia="ja-JP"/>
        </w:rPr>
        <w:t>the</w:t>
      </w:r>
      <w:r w:rsidR="00F85937">
        <w:rPr>
          <w:rFonts w:eastAsiaTheme="minorEastAsia" w:hint="eastAsia"/>
          <w:lang w:eastAsia="ja-JP"/>
        </w:rPr>
        <w:t xml:space="preserve"> nearest to 2 and 7 individuals, </w:t>
      </w:r>
      <w:r w:rsidR="00F85937">
        <w:rPr>
          <w:rFonts w:eastAsiaTheme="minorEastAsia"/>
          <w:lang w:eastAsia="ja-JP"/>
        </w:rPr>
        <w:t>respectively</w:t>
      </w:r>
      <w:r w:rsidR="00F85937">
        <w:rPr>
          <w:rFonts w:eastAsiaTheme="minorEastAsia" w:hint="eastAsia"/>
          <w:lang w:eastAsia="ja-JP"/>
        </w:rPr>
        <w:t xml:space="preserve">. Since the </w:t>
      </w:r>
      <w:r w:rsidR="006D694E">
        <w:rPr>
          <w:rFonts w:eastAsiaTheme="minorEastAsia"/>
          <w:lang w:eastAsia="ja-JP"/>
        </w:rPr>
        <w:t>amount</w:t>
      </w:r>
      <w:r w:rsidR="006D694E">
        <w:rPr>
          <w:rFonts w:eastAsiaTheme="minorEastAsia" w:hint="eastAsia"/>
          <w:lang w:eastAsia="ja-JP"/>
        </w:rPr>
        <w:t xml:space="preserve"> </w:t>
      </w:r>
      <w:r w:rsidR="00F85937">
        <w:rPr>
          <w:rFonts w:eastAsiaTheme="minorEastAsia" w:hint="eastAsia"/>
          <w:lang w:eastAsia="ja-JP"/>
        </w:rPr>
        <w:t xml:space="preserve">of data is </w:t>
      </w:r>
      <w:r w:rsidR="00F85937">
        <w:rPr>
          <w:rFonts w:eastAsiaTheme="minorEastAsia"/>
          <w:lang w:eastAsia="ja-JP"/>
        </w:rPr>
        <w:t>limited</w:t>
      </w:r>
      <w:r w:rsidR="00F85937">
        <w:rPr>
          <w:rFonts w:eastAsiaTheme="minorEastAsia" w:hint="eastAsia"/>
          <w:lang w:eastAsia="ja-JP"/>
        </w:rPr>
        <w:t xml:space="preserve"> in soft corals (n &lt; 300), </w:t>
      </w:r>
      <w:r w:rsidR="00E7314C">
        <w:rPr>
          <w:rFonts w:eastAsiaTheme="minorEastAsia" w:hint="eastAsia"/>
          <w:lang w:eastAsia="ja-JP"/>
        </w:rPr>
        <w:t>these values</w:t>
      </w:r>
      <w:r w:rsidR="00F85937">
        <w:rPr>
          <w:rFonts w:eastAsiaTheme="minorEastAsia" w:hint="eastAsia"/>
          <w:lang w:eastAsia="ja-JP"/>
        </w:rPr>
        <w:t xml:space="preserve"> might be</w:t>
      </w:r>
      <w:r w:rsidR="00C623CB">
        <w:rPr>
          <w:rFonts w:eastAsiaTheme="minorEastAsia" w:hint="eastAsia"/>
          <w:lang w:eastAsia="ja-JP"/>
        </w:rPr>
        <w:t xml:space="preserve"> unreliable</w:t>
      </w:r>
      <w:r w:rsidR="00F85937">
        <w:rPr>
          <w:rFonts w:eastAsiaTheme="minorEastAsia" w:hint="eastAsia"/>
          <w:lang w:eastAsia="ja-JP"/>
        </w:rPr>
        <w:t>.</w:t>
      </w:r>
      <w:r w:rsidR="00E7314C">
        <w:rPr>
          <w:rFonts w:eastAsiaTheme="minorEastAsia" w:hint="eastAsia"/>
          <w:lang w:eastAsia="ja-JP"/>
        </w:rPr>
        <w:t xml:space="preserve"> </w:t>
      </w:r>
    </w:p>
    <w:p w14:paraId="3A21CD38" w14:textId="23DDB779" w:rsidR="003E0ECF" w:rsidRDefault="002E2C7A" w:rsidP="002E2C7A">
      <w:pPr>
        <w:pStyle w:val="BodyText"/>
        <w:spacing w:line="276" w:lineRule="auto"/>
        <w:ind w:left="0" w:firstLine="525"/>
        <w:rPr>
          <w:rFonts w:eastAsiaTheme="minorEastAsia"/>
          <w:lang w:eastAsia="ja-JP"/>
        </w:rPr>
      </w:pPr>
      <w:r>
        <w:rPr>
          <w:rFonts w:eastAsiaTheme="minorEastAsia" w:hint="eastAsia"/>
          <w:lang w:eastAsia="ja-JP"/>
        </w:rPr>
        <w:t>G</w:t>
      </w:r>
      <w:r w:rsidR="00FC7898">
        <w:rPr>
          <w:rFonts w:eastAsiaTheme="minorEastAsia" w:hint="eastAsia"/>
          <w:lang w:eastAsia="ja-JP"/>
        </w:rPr>
        <w:t xml:space="preserve">iven that the density is likely to be related to FAO criteria such as </w:t>
      </w:r>
      <w:r w:rsidR="00C623CB">
        <w:rPr>
          <w:rFonts w:eastAsiaTheme="minorEastAsia"/>
          <w:lang w:eastAsia="ja-JP"/>
        </w:rPr>
        <w:t>“</w:t>
      </w:r>
      <w:r w:rsidR="00FC7898" w:rsidRPr="00F43AF9">
        <w:rPr>
          <w:rFonts w:eastAsiaTheme="minorEastAsia"/>
          <w:lang w:eastAsia="ja-JP"/>
        </w:rPr>
        <w:t>rarity/uniqueness”</w:t>
      </w:r>
      <w:r w:rsidR="00FC7898">
        <w:rPr>
          <w:rFonts w:eastAsiaTheme="minorEastAsia" w:hint="eastAsia"/>
          <w:lang w:eastAsia="ja-JP"/>
        </w:rPr>
        <w:t>,</w:t>
      </w:r>
      <w:r w:rsidR="00FC7898" w:rsidRPr="00F43AF9">
        <w:rPr>
          <w:rFonts w:eastAsiaTheme="minorEastAsia"/>
          <w:lang w:eastAsia="ja-JP"/>
        </w:rPr>
        <w:t xml:space="preserve"> “structural complexity”</w:t>
      </w:r>
      <w:r w:rsidR="00FC7898">
        <w:rPr>
          <w:rFonts w:eastAsiaTheme="minorEastAsia" w:hint="eastAsia"/>
          <w:lang w:eastAsia="ja-JP"/>
        </w:rPr>
        <w:t xml:space="preserve"> and </w:t>
      </w:r>
      <w:r w:rsidR="00FC7898" w:rsidRPr="00F43AF9">
        <w:rPr>
          <w:rFonts w:eastAsiaTheme="minorEastAsia"/>
          <w:lang w:eastAsia="ja-JP"/>
        </w:rPr>
        <w:t>“</w:t>
      </w:r>
      <w:r w:rsidR="00FC7898">
        <w:rPr>
          <w:rFonts w:eastAsiaTheme="minorEastAsia" w:hint="eastAsia"/>
          <w:lang w:eastAsia="ja-JP"/>
        </w:rPr>
        <w:t>f</w:t>
      </w:r>
      <w:r w:rsidR="00FC7898" w:rsidRPr="00F43AF9">
        <w:rPr>
          <w:rFonts w:eastAsiaTheme="minorEastAsia"/>
          <w:lang w:eastAsia="ja-JP"/>
        </w:rPr>
        <w:t xml:space="preserve">unctional significance of the </w:t>
      </w:r>
      <w:r>
        <w:rPr>
          <w:rFonts w:eastAsiaTheme="minorEastAsia" w:hint="eastAsia"/>
          <w:lang w:eastAsia="ja-JP"/>
        </w:rPr>
        <w:t>habitat</w:t>
      </w:r>
      <w:r w:rsidR="00FC7898" w:rsidRPr="00F43AF9">
        <w:rPr>
          <w:rFonts w:eastAsiaTheme="minorEastAsia"/>
          <w:lang w:eastAsia="ja-JP"/>
        </w:rPr>
        <w:t>”</w:t>
      </w:r>
      <w:r w:rsidR="00FC7898">
        <w:rPr>
          <w:rFonts w:eastAsiaTheme="minorEastAsia" w:hint="eastAsia"/>
          <w:lang w:eastAsia="ja-JP"/>
        </w:rPr>
        <w:t>, our approach using density patterns can contribute to the science-based choice of density thresholds, although it may not be conclusive.</w:t>
      </w:r>
      <w:r w:rsidR="00A93F8D">
        <w:rPr>
          <w:rFonts w:eastAsiaTheme="minorEastAsia" w:hint="eastAsia"/>
          <w:lang w:eastAsia="ja-JP"/>
        </w:rPr>
        <w:t xml:space="preserve"> </w:t>
      </w:r>
      <w:r w:rsidR="003E0ECF" w:rsidRPr="003E0ECF">
        <w:rPr>
          <w:rFonts w:eastAsiaTheme="minorEastAsia"/>
          <w:lang w:eastAsia="ja-JP"/>
        </w:rPr>
        <w:t xml:space="preserve">Our results showed that the current density category used to sort the potential VME sites is </w:t>
      </w:r>
      <w:r w:rsidR="00FC7898">
        <w:rPr>
          <w:rFonts w:eastAsiaTheme="minorEastAsia" w:hint="eastAsia"/>
          <w:lang w:eastAsia="ja-JP"/>
        </w:rPr>
        <w:t>suitable</w:t>
      </w:r>
      <w:r w:rsidR="003E0ECF" w:rsidRPr="003E0ECF">
        <w:rPr>
          <w:rFonts w:eastAsiaTheme="minorEastAsia"/>
          <w:lang w:eastAsia="ja-JP"/>
        </w:rPr>
        <w:t xml:space="preserve"> to evaluate the sites</w:t>
      </w:r>
      <w:r w:rsidR="00FC7898">
        <w:rPr>
          <w:rFonts w:eastAsiaTheme="minorEastAsia" w:hint="eastAsia"/>
          <w:lang w:eastAsia="ja-JP"/>
        </w:rPr>
        <w:t xml:space="preserve"> in a </w:t>
      </w:r>
      <w:r w:rsidR="00FC7898">
        <w:rPr>
          <w:rFonts w:eastAsiaTheme="minorEastAsia"/>
          <w:lang w:eastAsia="ja-JP"/>
        </w:rPr>
        <w:t>precautionary</w:t>
      </w:r>
      <w:r w:rsidR="00FC7898">
        <w:rPr>
          <w:rFonts w:eastAsiaTheme="minorEastAsia" w:hint="eastAsia"/>
          <w:lang w:eastAsia="ja-JP"/>
        </w:rPr>
        <w:t xml:space="preserve"> way.</w:t>
      </w:r>
      <w:r w:rsidR="003E0ECF" w:rsidRPr="003E0ECF">
        <w:rPr>
          <w:rFonts w:eastAsiaTheme="minorEastAsia"/>
          <w:lang w:eastAsia="ja-JP"/>
        </w:rPr>
        <w:t xml:space="preserve"> </w:t>
      </w:r>
      <w:r w:rsidR="00FC7898">
        <w:rPr>
          <w:rFonts w:eastAsiaTheme="minorEastAsia" w:hint="eastAsia"/>
          <w:lang w:eastAsia="ja-JP"/>
        </w:rPr>
        <w:t>T</w:t>
      </w:r>
      <w:r w:rsidR="003E0ECF" w:rsidRPr="003E0ECF">
        <w:rPr>
          <w:rFonts w:eastAsiaTheme="minorEastAsia"/>
          <w:lang w:eastAsia="ja-JP"/>
        </w:rPr>
        <w:t>hus</w:t>
      </w:r>
      <w:r w:rsidR="001F579A">
        <w:rPr>
          <w:rFonts w:eastAsiaTheme="minorEastAsia" w:hint="eastAsia"/>
          <w:lang w:eastAsia="ja-JP"/>
        </w:rPr>
        <w:t>,</w:t>
      </w:r>
      <w:r w:rsidR="003E0ECF" w:rsidRPr="003E0ECF">
        <w:rPr>
          <w:rFonts w:eastAsiaTheme="minorEastAsia"/>
          <w:lang w:eastAsia="ja-JP"/>
        </w:rPr>
        <w:t xml:space="preserve"> continual use of the current density levels would be recommended </w:t>
      </w:r>
      <w:r w:rsidR="00167F65">
        <w:rPr>
          <w:rFonts w:eastAsiaTheme="minorEastAsia"/>
          <w:lang w:eastAsia="ja-JP"/>
        </w:rPr>
        <w:t>for the</w:t>
      </w:r>
      <w:r w:rsidR="00167F65" w:rsidRPr="003E0ECF">
        <w:rPr>
          <w:rFonts w:eastAsiaTheme="minorEastAsia"/>
          <w:lang w:eastAsia="ja-JP"/>
        </w:rPr>
        <w:t xml:space="preserve"> </w:t>
      </w:r>
      <w:r w:rsidR="003E0ECF" w:rsidRPr="003E0ECF">
        <w:rPr>
          <w:rFonts w:eastAsiaTheme="minorEastAsia"/>
          <w:lang w:eastAsia="ja-JP"/>
        </w:rPr>
        <w:t>Japanese method. For Scleractinia, our calculated results showed slightly lower density level</w:t>
      </w:r>
      <w:r w:rsidR="00167F65">
        <w:rPr>
          <w:rFonts w:eastAsiaTheme="minorEastAsia"/>
          <w:lang w:eastAsia="ja-JP"/>
        </w:rPr>
        <w:t>s</w:t>
      </w:r>
      <w:r w:rsidR="003E0ECF" w:rsidRPr="003E0ECF">
        <w:rPr>
          <w:rFonts w:eastAsiaTheme="minorEastAsia"/>
          <w:lang w:eastAsia="ja-JP"/>
        </w:rPr>
        <w:t xml:space="preserve"> than the current ones.</w:t>
      </w:r>
      <w:r w:rsidR="00C7783C">
        <w:rPr>
          <w:rFonts w:eastAsiaTheme="minorEastAsia" w:hint="eastAsia"/>
          <w:lang w:eastAsia="ja-JP"/>
        </w:rPr>
        <w:t xml:space="preserve"> However, this result does not immediately deny the validity of current thresholds.</w:t>
      </w:r>
      <w:r w:rsidR="003E0ECF" w:rsidRPr="003E0ECF">
        <w:rPr>
          <w:rFonts w:eastAsiaTheme="minorEastAsia"/>
          <w:lang w:eastAsia="ja-JP"/>
        </w:rPr>
        <w:t xml:space="preserve"> Since most of Scleractinia colonies found during the visual surveys are much smaller (with few exceptions) than other dominant VME indicator taxa, such as gorgonians and/or Antipatharia, </w:t>
      </w:r>
      <w:r w:rsidR="00C7783C">
        <w:rPr>
          <w:rFonts w:eastAsiaTheme="minorEastAsia" w:hint="eastAsia"/>
          <w:lang w:eastAsia="ja-JP"/>
        </w:rPr>
        <w:t xml:space="preserve">it is reasonable to assume that they </w:t>
      </w:r>
      <w:r w:rsidR="00C7783C">
        <w:rPr>
          <w:rFonts w:eastAsiaTheme="minorEastAsia"/>
          <w:lang w:eastAsia="ja-JP"/>
        </w:rPr>
        <w:t>require</w:t>
      </w:r>
      <w:r w:rsidR="00C7783C">
        <w:rPr>
          <w:rFonts w:eastAsiaTheme="minorEastAsia" w:hint="eastAsia"/>
          <w:lang w:eastAsia="ja-JP"/>
        </w:rPr>
        <w:t xml:space="preserve"> </w:t>
      </w:r>
      <w:r w:rsidR="00715A3A">
        <w:rPr>
          <w:rFonts w:eastAsiaTheme="minorEastAsia"/>
          <w:lang w:eastAsia="ja-JP"/>
        </w:rPr>
        <w:t xml:space="preserve">a </w:t>
      </w:r>
      <w:r w:rsidR="00C7783C">
        <w:rPr>
          <w:rFonts w:eastAsiaTheme="minorEastAsia" w:hint="eastAsia"/>
          <w:lang w:eastAsia="ja-JP"/>
        </w:rPr>
        <w:t xml:space="preserve">higher density to be functionally significant. Thus, the use of current thresholds is still reasonable for </w:t>
      </w:r>
      <w:r w:rsidR="00C7783C" w:rsidRPr="003E0ECF">
        <w:rPr>
          <w:rFonts w:eastAsiaTheme="minorEastAsia"/>
          <w:lang w:eastAsia="ja-JP"/>
        </w:rPr>
        <w:t>Scleractinia</w:t>
      </w:r>
      <w:r w:rsidR="00C7783C">
        <w:rPr>
          <w:rFonts w:eastAsiaTheme="minorEastAsia" w:hint="eastAsia"/>
          <w:lang w:eastAsia="ja-JP"/>
        </w:rPr>
        <w:t>, while some attention should be paid to sites with intermediate density of this taxa</w:t>
      </w:r>
      <w:r w:rsidR="003E0ECF" w:rsidRPr="003E0ECF">
        <w:rPr>
          <w:rFonts w:eastAsiaTheme="minorEastAsia"/>
          <w:lang w:eastAsia="ja-JP"/>
        </w:rPr>
        <w:t>.</w:t>
      </w:r>
      <w:r w:rsidR="00C7783C">
        <w:rPr>
          <w:rFonts w:eastAsiaTheme="minorEastAsia" w:hint="eastAsia"/>
          <w:lang w:eastAsia="ja-JP"/>
        </w:rPr>
        <w:t xml:space="preserve"> Possible interaction between density and size of VME indicator colonies/individuals should be explored in the future.</w:t>
      </w:r>
    </w:p>
    <w:p w14:paraId="61EE55D4" w14:textId="4C203C53" w:rsidR="00E47E48" w:rsidRDefault="004403A3" w:rsidP="00E85EAA">
      <w:pPr>
        <w:pStyle w:val="BodyText"/>
        <w:spacing w:line="276" w:lineRule="auto"/>
        <w:ind w:left="0" w:firstLine="525"/>
        <w:rPr>
          <w:rFonts w:eastAsiaTheme="minorEastAsia"/>
          <w:lang w:eastAsia="ja-JP"/>
        </w:rPr>
      </w:pPr>
      <w:r>
        <w:rPr>
          <w:rFonts w:eastAsiaTheme="minorEastAsia"/>
          <w:lang w:eastAsia="ja-JP"/>
        </w:rPr>
        <w:t>Last</w:t>
      </w:r>
      <w:r w:rsidR="004C3512">
        <w:rPr>
          <w:rFonts w:eastAsiaTheme="minorEastAsia" w:hint="eastAsia"/>
          <w:lang w:eastAsia="ja-JP"/>
        </w:rPr>
        <w:t>ly</w:t>
      </w:r>
      <w:r w:rsidR="00F43AF9" w:rsidRPr="00F43AF9">
        <w:rPr>
          <w:rFonts w:eastAsiaTheme="minorEastAsia"/>
          <w:lang w:eastAsia="ja-JP"/>
        </w:rPr>
        <w:t xml:space="preserve">, </w:t>
      </w:r>
      <w:r w:rsidR="00C7783C">
        <w:rPr>
          <w:rFonts w:eastAsiaTheme="minorEastAsia" w:hint="eastAsia"/>
          <w:lang w:eastAsia="ja-JP"/>
        </w:rPr>
        <w:t xml:space="preserve">we emphasize that the density levels studied here </w:t>
      </w:r>
      <w:r w:rsidR="006628BA">
        <w:rPr>
          <w:rFonts w:eastAsiaTheme="minorEastAsia"/>
          <w:lang w:eastAsia="ja-JP"/>
        </w:rPr>
        <w:t>are</w:t>
      </w:r>
      <w:r w:rsidR="006628BA">
        <w:rPr>
          <w:rFonts w:eastAsiaTheme="minorEastAsia" w:hint="eastAsia"/>
          <w:lang w:eastAsia="ja-JP"/>
        </w:rPr>
        <w:t xml:space="preserve"> </w:t>
      </w:r>
      <w:r w:rsidR="00C7783C">
        <w:rPr>
          <w:rFonts w:eastAsiaTheme="minorEastAsia" w:hint="eastAsia"/>
          <w:lang w:eastAsia="ja-JP"/>
        </w:rPr>
        <w:t>only part of the process in</w:t>
      </w:r>
      <w:r w:rsidR="00735193">
        <w:rPr>
          <w:rFonts w:eastAsiaTheme="minorEastAsia"/>
          <w:lang w:eastAsia="ja-JP"/>
        </w:rPr>
        <w:t xml:space="preserve"> the</w:t>
      </w:r>
      <w:r w:rsidR="00C7783C">
        <w:rPr>
          <w:rFonts w:eastAsiaTheme="minorEastAsia" w:hint="eastAsia"/>
          <w:lang w:eastAsia="ja-JP"/>
        </w:rPr>
        <w:t xml:space="preserve"> </w:t>
      </w:r>
      <w:r w:rsidR="00C7783C">
        <w:rPr>
          <w:rFonts w:eastAsiaTheme="minorEastAsia" w:hint="eastAsia"/>
          <w:lang w:eastAsia="ja-JP"/>
        </w:rPr>
        <w:lastRenderedPageBreak/>
        <w:t>Japanese method of VME definition and SAI assessment. A</w:t>
      </w:r>
      <w:r w:rsidR="00F43AF9" w:rsidRPr="00F43AF9">
        <w:rPr>
          <w:rFonts w:eastAsiaTheme="minorEastAsia"/>
          <w:lang w:eastAsia="ja-JP"/>
        </w:rPr>
        <w:t xml:space="preserve">lthough our VME defining procedures </w:t>
      </w:r>
      <w:r w:rsidR="00F07D11">
        <w:rPr>
          <w:rFonts w:eastAsiaTheme="minorEastAsia" w:hint="eastAsia"/>
          <w:lang w:eastAsia="ja-JP"/>
        </w:rPr>
        <w:t xml:space="preserve">are </w:t>
      </w:r>
      <w:r w:rsidR="00F43AF9" w:rsidRPr="00F43AF9">
        <w:rPr>
          <w:rFonts w:eastAsiaTheme="minorEastAsia"/>
          <w:lang w:eastAsia="ja-JP"/>
        </w:rPr>
        <w:t>using these density levels to screen out the “high</w:t>
      </w:r>
      <w:r w:rsidR="00F07D11">
        <w:rPr>
          <w:rFonts w:eastAsiaTheme="minorEastAsia" w:hint="eastAsia"/>
          <w:lang w:eastAsia="ja-JP"/>
        </w:rPr>
        <w:t>-density</w:t>
      </w:r>
      <w:r w:rsidR="000D79B2">
        <w:rPr>
          <w:rFonts w:eastAsiaTheme="minorEastAsia" w:hint="eastAsia"/>
          <w:lang w:eastAsia="ja-JP"/>
        </w:rPr>
        <w:t>-</w:t>
      </w:r>
      <w:r w:rsidR="00F43AF9" w:rsidRPr="00F43AF9">
        <w:rPr>
          <w:rFonts w:eastAsiaTheme="minorEastAsia"/>
          <w:lang w:eastAsia="ja-JP"/>
        </w:rPr>
        <w:t xml:space="preserve">level areas” as “potential VME sites”, </w:t>
      </w:r>
      <w:r w:rsidR="00C7783C">
        <w:rPr>
          <w:rFonts w:eastAsiaTheme="minorEastAsia" w:hint="eastAsia"/>
          <w:lang w:eastAsia="ja-JP"/>
        </w:rPr>
        <w:t>scientists</w:t>
      </w:r>
      <w:r w:rsidR="00F43AF9" w:rsidRPr="00F43AF9">
        <w:rPr>
          <w:rFonts w:eastAsiaTheme="minorEastAsia"/>
          <w:lang w:eastAsia="ja-JP"/>
        </w:rPr>
        <w:t xml:space="preserve"> evaluate </w:t>
      </w:r>
      <w:r w:rsidR="00C7783C">
        <w:rPr>
          <w:rFonts w:eastAsiaTheme="minorEastAsia" w:hint="eastAsia"/>
          <w:lang w:eastAsia="ja-JP"/>
        </w:rPr>
        <w:t xml:space="preserve">images </w:t>
      </w:r>
      <w:r w:rsidR="0051448C">
        <w:rPr>
          <w:rFonts w:eastAsiaTheme="minorEastAsia"/>
          <w:lang w:eastAsia="ja-JP"/>
        </w:rPr>
        <w:t>from</w:t>
      </w:r>
      <w:r w:rsidR="0051448C" w:rsidRPr="00F43AF9">
        <w:rPr>
          <w:rFonts w:eastAsiaTheme="minorEastAsia"/>
          <w:lang w:eastAsia="ja-JP"/>
        </w:rPr>
        <w:t xml:space="preserve"> </w:t>
      </w:r>
      <w:r w:rsidR="00C7783C">
        <w:rPr>
          <w:rFonts w:eastAsiaTheme="minorEastAsia" w:hint="eastAsia"/>
          <w:lang w:eastAsia="ja-JP"/>
        </w:rPr>
        <w:t xml:space="preserve">all </w:t>
      </w:r>
      <w:r w:rsidR="00F43AF9" w:rsidRPr="00F43AF9">
        <w:rPr>
          <w:rFonts w:eastAsiaTheme="minorEastAsia"/>
          <w:lang w:eastAsia="ja-JP"/>
        </w:rPr>
        <w:t>candidate</w:t>
      </w:r>
      <w:r w:rsidR="00C7783C">
        <w:rPr>
          <w:rFonts w:eastAsiaTheme="minorEastAsia" w:hint="eastAsia"/>
          <w:lang w:eastAsia="ja-JP"/>
        </w:rPr>
        <w:t xml:space="preserve"> site</w:t>
      </w:r>
      <w:r w:rsidR="00F43AF9" w:rsidRPr="00F43AF9">
        <w:rPr>
          <w:rFonts w:eastAsiaTheme="minorEastAsia"/>
          <w:lang w:eastAsia="ja-JP"/>
        </w:rPr>
        <w:t xml:space="preserve">s (VME-indicator-present sites) </w:t>
      </w:r>
      <w:r w:rsidR="00C7783C">
        <w:rPr>
          <w:rFonts w:eastAsiaTheme="minorEastAsia" w:hint="eastAsia"/>
          <w:lang w:eastAsia="ja-JP"/>
        </w:rPr>
        <w:t xml:space="preserve">to detect possible VME </w:t>
      </w:r>
      <w:r w:rsidR="00C7783C">
        <w:rPr>
          <w:rFonts w:eastAsiaTheme="minorEastAsia"/>
          <w:lang w:eastAsia="ja-JP"/>
        </w:rPr>
        <w:t>occurrence</w:t>
      </w:r>
      <w:r w:rsidR="00C7783C">
        <w:rPr>
          <w:rFonts w:eastAsiaTheme="minorEastAsia" w:hint="eastAsia"/>
          <w:lang w:eastAsia="ja-JP"/>
        </w:rPr>
        <w:t xml:space="preserve"> with respect to each</w:t>
      </w:r>
      <w:r w:rsidR="00F43AF9" w:rsidRPr="00F43AF9">
        <w:rPr>
          <w:rFonts w:eastAsiaTheme="minorEastAsia"/>
          <w:lang w:eastAsia="ja-JP"/>
        </w:rPr>
        <w:t xml:space="preserve"> of </w:t>
      </w:r>
      <w:r w:rsidR="00370067">
        <w:rPr>
          <w:rFonts w:eastAsiaTheme="minorEastAsia"/>
          <w:lang w:eastAsia="ja-JP"/>
        </w:rPr>
        <w:t xml:space="preserve">the </w:t>
      </w:r>
      <w:r w:rsidR="00F43AF9" w:rsidRPr="00F43AF9">
        <w:rPr>
          <w:rFonts w:eastAsiaTheme="minorEastAsia"/>
          <w:lang w:eastAsia="ja-JP"/>
        </w:rPr>
        <w:t>VME criteria.</w:t>
      </w:r>
    </w:p>
    <w:p w14:paraId="4EDDFD60" w14:textId="3F2748EE" w:rsidR="00F85937" w:rsidRDefault="00537166" w:rsidP="00537166">
      <w:pPr>
        <w:pStyle w:val="BodyText"/>
        <w:ind w:left="0"/>
        <w:jc w:val="center"/>
        <w:rPr>
          <w:rFonts w:eastAsiaTheme="minorEastAsia"/>
          <w:lang w:eastAsia="ja-JP"/>
        </w:rPr>
      </w:pPr>
      <w:r>
        <w:rPr>
          <w:rFonts w:eastAsiaTheme="minorEastAsia"/>
          <w:noProof/>
          <w:lang w:eastAsia="ja-JP"/>
        </w:rPr>
        <w:drawing>
          <wp:inline distT="0" distB="0" distL="0" distR="0" wp14:anchorId="4B806637" wp14:editId="21DD1E74">
            <wp:extent cx="5644111" cy="5626126"/>
            <wp:effectExtent l="0" t="0" r="0" b="0"/>
            <wp:docPr id="283078986" name="図 6" descr="設計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78986" name="図 6" descr="設計図&#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7547" cy="5629551"/>
                    </a:xfrm>
                    <a:prstGeom prst="rect">
                      <a:avLst/>
                    </a:prstGeom>
                  </pic:spPr>
                </pic:pic>
              </a:graphicData>
            </a:graphic>
          </wp:inline>
        </w:drawing>
      </w:r>
    </w:p>
    <w:p w14:paraId="632DDFEC" w14:textId="6B2EFE05" w:rsidR="007C3511" w:rsidRPr="00537166" w:rsidRDefault="002763F4" w:rsidP="000C59D9">
      <w:pPr>
        <w:pStyle w:val="BodyText"/>
        <w:ind w:left="0"/>
        <w:rPr>
          <w:rFonts w:asciiTheme="majorHAnsi" w:eastAsiaTheme="minorEastAsia" w:hAnsiTheme="majorHAnsi" w:cstheme="majorHAnsi"/>
          <w:lang w:eastAsia="ja-JP"/>
        </w:rPr>
      </w:pPr>
      <w:r w:rsidRPr="002763F4">
        <w:rPr>
          <w:rFonts w:asciiTheme="majorHAnsi" w:eastAsiaTheme="minorEastAsia" w:hAnsiTheme="majorHAnsi" w:cstheme="majorHAnsi"/>
          <w:lang w:eastAsia="ja-JP"/>
        </w:rPr>
        <w:t xml:space="preserve">Figure 1. Cumulative proportional curves (grey line) of the density of VME indicator taxa of visual survey data from 2009 to 2024 and 2-parameter segmented regressions (black solid line). Blue and red dash lines represent the first and second segmented points.  </w:t>
      </w:r>
    </w:p>
    <w:p w14:paraId="29BA2582" w14:textId="77777777" w:rsidR="008859AB" w:rsidRDefault="008859AB" w:rsidP="001E15B0">
      <w:pPr>
        <w:pStyle w:val="BodyText"/>
        <w:ind w:left="0"/>
        <w:rPr>
          <w:rFonts w:asciiTheme="majorHAnsi" w:eastAsiaTheme="majorEastAsia" w:hAnsiTheme="majorHAnsi" w:cstheme="majorHAnsi"/>
          <w:lang w:eastAsia="ja-JP"/>
        </w:rPr>
      </w:pPr>
    </w:p>
    <w:p w14:paraId="51322C68" w14:textId="77777777" w:rsidR="002E2C7A" w:rsidRDefault="002E2C7A" w:rsidP="001E15B0">
      <w:pPr>
        <w:pStyle w:val="BodyText"/>
        <w:ind w:left="0"/>
        <w:rPr>
          <w:rFonts w:asciiTheme="majorHAnsi" w:eastAsiaTheme="majorEastAsia" w:hAnsiTheme="majorHAnsi" w:cstheme="majorHAnsi"/>
          <w:lang w:eastAsia="ja-JP"/>
        </w:rPr>
      </w:pPr>
    </w:p>
    <w:p w14:paraId="4AAE51A0" w14:textId="77777777" w:rsidR="002E2C7A" w:rsidRDefault="002E2C7A" w:rsidP="001E15B0">
      <w:pPr>
        <w:pStyle w:val="BodyText"/>
        <w:ind w:left="0"/>
        <w:rPr>
          <w:rFonts w:asciiTheme="majorHAnsi" w:eastAsiaTheme="majorEastAsia" w:hAnsiTheme="majorHAnsi" w:cstheme="majorHAnsi"/>
          <w:lang w:eastAsia="ja-JP"/>
        </w:rPr>
      </w:pPr>
    </w:p>
    <w:p w14:paraId="5651B615" w14:textId="77777777" w:rsidR="008859AB" w:rsidRDefault="008859AB" w:rsidP="001E15B0">
      <w:pPr>
        <w:pStyle w:val="BodyText"/>
        <w:ind w:left="0"/>
        <w:rPr>
          <w:rFonts w:asciiTheme="majorHAnsi" w:eastAsiaTheme="majorEastAsia" w:hAnsiTheme="majorHAnsi" w:cstheme="majorHAnsi"/>
          <w:lang w:eastAsia="ja-JP"/>
        </w:rPr>
      </w:pPr>
    </w:p>
    <w:p w14:paraId="3271717F" w14:textId="77777777" w:rsidR="004C3512" w:rsidRDefault="004C3512" w:rsidP="001E15B0">
      <w:pPr>
        <w:pStyle w:val="BodyText"/>
        <w:ind w:left="0"/>
        <w:rPr>
          <w:rFonts w:asciiTheme="majorHAnsi" w:eastAsiaTheme="majorEastAsia" w:hAnsiTheme="majorHAnsi" w:cstheme="majorHAnsi"/>
          <w:lang w:eastAsia="ja-JP"/>
        </w:rPr>
      </w:pPr>
    </w:p>
    <w:p w14:paraId="10B0EE41" w14:textId="1337CD5E" w:rsidR="001F579A" w:rsidRPr="001A18B1" w:rsidRDefault="000C59D9" w:rsidP="001E15B0">
      <w:pPr>
        <w:pStyle w:val="BodyText"/>
        <w:ind w:left="0"/>
        <w:rPr>
          <w:rFonts w:asciiTheme="majorHAnsi" w:eastAsiaTheme="majorEastAsia" w:hAnsiTheme="majorHAnsi" w:cstheme="majorHAnsi"/>
          <w:lang w:eastAsia="ja-JP"/>
        </w:rPr>
      </w:pPr>
      <w:r w:rsidRPr="000C59D9">
        <w:rPr>
          <w:rFonts w:asciiTheme="majorHAnsi" w:eastAsiaTheme="majorEastAsia" w:hAnsiTheme="majorHAnsi" w:cstheme="majorHAnsi"/>
          <w:lang w:eastAsia="ja-JP"/>
        </w:rPr>
        <w:lastRenderedPageBreak/>
        <w:t xml:space="preserve">Table </w:t>
      </w:r>
      <w:r w:rsidR="00D94122" w:rsidRPr="000C59D9">
        <w:rPr>
          <w:rFonts w:asciiTheme="majorHAnsi" w:eastAsiaTheme="majorEastAsia" w:hAnsiTheme="majorHAnsi" w:cstheme="majorHAnsi"/>
          <w:lang w:eastAsia="ja-JP"/>
        </w:rPr>
        <w:t xml:space="preserve">2: </w:t>
      </w:r>
      <w:r w:rsidRPr="000C59D9">
        <w:rPr>
          <w:rFonts w:asciiTheme="majorHAnsi" w:eastAsiaTheme="majorEastAsia" w:hAnsiTheme="majorHAnsi" w:cstheme="majorHAnsi"/>
          <w:lang w:eastAsia="ja-JP"/>
        </w:rPr>
        <w:t>Results of calculated segment points per VME indicator taxa</w:t>
      </w:r>
      <w:r w:rsidR="001A18B1">
        <w:rPr>
          <w:rFonts w:asciiTheme="majorHAnsi" w:eastAsiaTheme="majorEastAsia" w:hAnsiTheme="majorHAnsi" w:cstheme="majorHAnsi" w:hint="eastAsia"/>
          <w:lang w:eastAsia="ja-JP"/>
        </w:rPr>
        <w:t xml:space="preserve"> (no. individuals per 7.5m</w:t>
      </w:r>
      <w:r w:rsidR="001A18B1" w:rsidRPr="001A18B1">
        <w:rPr>
          <w:rFonts w:asciiTheme="majorHAnsi" w:eastAsiaTheme="majorEastAsia" w:hAnsiTheme="majorHAnsi" w:cstheme="majorHAnsi" w:hint="eastAsia"/>
          <w:vertAlign w:val="superscript"/>
          <w:lang w:eastAsia="ja-JP"/>
        </w:rPr>
        <w:t>2</w:t>
      </w:r>
      <w:r w:rsidR="001A18B1" w:rsidRPr="001A18B1">
        <w:rPr>
          <w:rFonts w:asciiTheme="majorHAnsi" w:eastAsiaTheme="majorEastAsia" w:hAnsiTheme="majorHAnsi" w:cstheme="majorHAnsi" w:hint="eastAsia"/>
          <w:lang w:eastAsia="ja-JP"/>
        </w:rPr>
        <w:t>)</w:t>
      </w:r>
    </w:p>
    <w:tbl>
      <w:tblPr>
        <w:tblW w:w="9498" w:type="dxa"/>
        <w:tblLayout w:type="fixed"/>
        <w:tblCellMar>
          <w:left w:w="99" w:type="dxa"/>
          <w:right w:w="99" w:type="dxa"/>
        </w:tblCellMar>
        <w:tblLook w:val="04A0" w:firstRow="1" w:lastRow="0" w:firstColumn="1" w:lastColumn="0" w:noHBand="0" w:noVBand="1"/>
      </w:tblPr>
      <w:tblGrid>
        <w:gridCol w:w="2268"/>
        <w:gridCol w:w="1446"/>
        <w:gridCol w:w="1446"/>
        <w:gridCol w:w="1446"/>
        <w:gridCol w:w="1446"/>
        <w:gridCol w:w="1446"/>
      </w:tblGrid>
      <w:tr w:rsidR="00A97BCA" w:rsidRPr="00A97BCA" w14:paraId="1D2EF9ED" w14:textId="77777777" w:rsidTr="00A97BCA">
        <w:trPr>
          <w:trHeight w:val="375"/>
        </w:trPr>
        <w:tc>
          <w:tcPr>
            <w:tcW w:w="2268" w:type="dxa"/>
            <w:tcBorders>
              <w:top w:val="single" w:sz="8" w:space="0" w:color="auto"/>
              <w:left w:val="nil"/>
              <w:bottom w:val="nil"/>
              <w:right w:val="nil"/>
            </w:tcBorders>
            <w:shd w:val="clear" w:color="auto" w:fill="auto"/>
            <w:noWrap/>
            <w:vAlign w:val="center"/>
            <w:hideMark/>
          </w:tcPr>
          <w:p w14:paraId="1B978646"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hint="eastAsia"/>
                <w:color w:val="000000"/>
                <w:kern w:val="0"/>
                <w:sz w:val="22"/>
              </w:rPr>
              <w:t xml:space="preserve">　</w:t>
            </w:r>
          </w:p>
        </w:tc>
        <w:tc>
          <w:tcPr>
            <w:tcW w:w="1446" w:type="dxa"/>
            <w:tcBorders>
              <w:top w:val="single" w:sz="8" w:space="0" w:color="auto"/>
              <w:left w:val="nil"/>
              <w:bottom w:val="nil"/>
              <w:right w:val="nil"/>
            </w:tcBorders>
            <w:shd w:val="clear" w:color="auto" w:fill="auto"/>
            <w:noWrap/>
            <w:vAlign w:val="center"/>
            <w:hideMark/>
          </w:tcPr>
          <w:p w14:paraId="1F06EF9E"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gorgonians</w:t>
            </w:r>
          </w:p>
        </w:tc>
        <w:tc>
          <w:tcPr>
            <w:tcW w:w="1446" w:type="dxa"/>
            <w:tcBorders>
              <w:top w:val="single" w:sz="8" w:space="0" w:color="auto"/>
              <w:left w:val="nil"/>
              <w:bottom w:val="nil"/>
              <w:right w:val="nil"/>
            </w:tcBorders>
            <w:shd w:val="clear" w:color="auto" w:fill="auto"/>
            <w:noWrap/>
            <w:vAlign w:val="center"/>
            <w:hideMark/>
          </w:tcPr>
          <w:p w14:paraId="68233F1C"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Antipatharia</w:t>
            </w:r>
          </w:p>
        </w:tc>
        <w:tc>
          <w:tcPr>
            <w:tcW w:w="1446" w:type="dxa"/>
            <w:tcBorders>
              <w:top w:val="single" w:sz="8" w:space="0" w:color="auto"/>
              <w:left w:val="nil"/>
              <w:bottom w:val="nil"/>
              <w:right w:val="nil"/>
            </w:tcBorders>
            <w:shd w:val="clear" w:color="auto" w:fill="auto"/>
            <w:noWrap/>
            <w:vAlign w:val="center"/>
            <w:hideMark/>
          </w:tcPr>
          <w:p w14:paraId="2B3916A6"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Porifera</w:t>
            </w:r>
          </w:p>
        </w:tc>
        <w:tc>
          <w:tcPr>
            <w:tcW w:w="1446" w:type="dxa"/>
            <w:tcBorders>
              <w:top w:val="single" w:sz="8" w:space="0" w:color="auto"/>
              <w:left w:val="nil"/>
              <w:bottom w:val="nil"/>
              <w:right w:val="nil"/>
            </w:tcBorders>
            <w:shd w:val="clear" w:color="auto" w:fill="auto"/>
            <w:noWrap/>
            <w:vAlign w:val="center"/>
            <w:hideMark/>
          </w:tcPr>
          <w:p w14:paraId="4826B359" w14:textId="3CAA4C50"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Scleractinia</w:t>
            </w:r>
          </w:p>
        </w:tc>
        <w:tc>
          <w:tcPr>
            <w:tcW w:w="1446" w:type="dxa"/>
            <w:tcBorders>
              <w:top w:val="single" w:sz="8" w:space="0" w:color="auto"/>
              <w:left w:val="nil"/>
              <w:bottom w:val="nil"/>
              <w:right w:val="nil"/>
            </w:tcBorders>
            <w:shd w:val="clear" w:color="auto" w:fill="auto"/>
            <w:noWrap/>
            <w:vAlign w:val="center"/>
            <w:hideMark/>
          </w:tcPr>
          <w:p w14:paraId="0FBB3D65" w14:textId="43AD16BA" w:rsidR="00CD381B" w:rsidRPr="001011F3" w:rsidRDefault="00A97BCA" w:rsidP="001F579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soft corals</w:t>
            </w:r>
          </w:p>
        </w:tc>
      </w:tr>
      <w:tr w:rsidR="00A97BCA" w:rsidRPr="00A97BCA" w14:paraId="6268A39C" w14:textId="77777777" w:rsidTr="00A97BCA">
        <w:trPr>
          <w:trHeight w:val="375"/>
        </w:trPr>
        <w:tc>
          <w:tcPr>
            <w:tcW w:w="2268" w:type="dxa"/>
            <w:tcBorders>
              <w:top w:val="nil"/>
              <w:left w:val="nil"/>
              <w:bottom w:val="single" w:sz="4" w:space="0" w:color="auto"/>
              <w:right w:val="nil"/>
            </w:tcBorders>
            <w:shd w:val="clear" w:color="auto" w:fill="auto"/>
            <w:noWrap/>
            <w:vAlign w:val="center"/>
            <w:hideMark/>
          </w:tcPr>
          <w:p w14:paraId="2E36AF59"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no. data</w:t>
            </w:r>
          </w:p>
        </w:tc>
        <w:tc>
          <w:tcPr>
            <w:tcW w:w="1446" w:type="dxa"/>
            <w:tcBorders>
              <w:top w:val="nil"/>
              <w:left w:val="nil"/>
              <w:bottom w:val="single" w:sz="4" w:space="0" w:color="auto"/>
              <w:right w:val="nil"/>
            </w:tcBorders>
            <w:shd w:val="clear" w:color="auto" w:fill="auto"/>
            <w:noWrap/>
            <w:vAlign w:val="center"/>
            <w:hideMark/>
          </w:tcPr>
          <w:p w14:paraId="02F1B04B"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731</w:t>
            </w:r>
          </w:p>
        </w:tc>
        <w:tc>
          <w:tcPr>
            <w:tcW w:w="1446" w:type="dxa"/>
            <w:tcBorders>
              <w:top w:val="nil"/>
              <w:left w:val="nil"/>
              <w:bottom w:val="single" w:sz="4" w:space="0" w:color="auto"/>
              <w:right w:val="nil"/>
            </w:tcBorders>
            <w:shd w:val="clear" w:color="auto" w:fill="auto"/>
            <w:noWrap/>
            <w:vAlign w:val="center"/>
            <w:hideMark/>
          </w:tcPr>
          <w:p w14:paraId="0D04E140"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270</w:t>
            </w:r>
          </w:p>
        </w:tc>
        <w:tc>
          <w:tcPr>
            <w:tcW w:w="1446" w:type="dxa"/>
            <w:tcBorders>
              <w:top w:val="nil"/>
              <w:left w:val="nil"/>
              <w:bottom w:val="single" w:sz="4" w:space="0" w:color="auto"/>
              <w:right w:val="nil"/>
            </w:tcBorders>
            <w:shd w:val="clear" w:color="auto" w:fill="auto"/>
            <w:noWrap/>
            <w:vAlign w:val="center"/>
            <w:hideMark/>
          </w:tcPr>
          <w:p w14:paraId="0F4209FB"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307</w:t>
            </w:r>
          </w:p>
        </w:tc>
        <w:tc>
          <w:tcPr>
            <w:tcW w:w="1446" w:type="dxa"/>
            <w:tcBorders>
              <w:top w:val="nil"/>
              <w:left w:val="nil"/>
              <w:bottom w:val="single" w:sz="4" w:space="0" w:color="auto"/>
              <w:right w:val="nil"/>
            </w:tcBorders>
            <w:shd w:val="clear" w:color="auto" w:fill="auto"/>
            <w:noWrap/>
            <w:vAlign w:val="center"/>
            <w:hideMark/>
          </w:tcPr>
          <w:p w14:paraId="73858F5A" w14:textId="5021EE25"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344</w:t>
            </w:r>
          </w:p>
        </w:tc>
        <w:tc>
          <w:tcPr>
            <w:tcW w:w="1446" w:type="dxa"/>
            <w:tcBorders>
              <w:top w:val="nil"/>
              <w:left w:val="nil"/>
              <w:bottom w:val="single" w:sz="4" w:space="0" w:color="auto"/>
              <w:right w:val="nil"/>
            </w:tcBorders>
            <w:shd w:val="clear" w:color="auto" w:fill="auto"/>
            <w:noWrap/>
            <w:vAlign w:val="center"/>
            <w:hideMark/>
          </w:tcPr>
          <w:p w14:paraId="65D974F4" w14:textId="55797844"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103</w:t>
            </w:r>
          </w:p>
        </w:tc>
      </w:tr>
      <w:tr w:rsidR="00A97BCA" w:rsidRPr="00A97BCA" w14:paraId="56DEAEF5" w14:textId="77777777" w:rsidTr="001011F3">
        <w:trPr>
          <w:trHeight w:val="375"/>
        </w:trPr>
        <w:tc>
          <w:tcPr>
            <w:tcW w:w="2268" w:type="dxa"/>
            <w:tcBorders>
              <w:top w:val="nil"/>
              <w:left w:val="nil"/>
              <w:right w:val="nil"/>
            </w:tcBorders>
            <w:shd w:val="clear" w:color="auto" w:fill="auto"/>
            <w:noWrap/>
            <w:vAlign w:val="center"/>
            <w:hideMark/>
          </w:tcPr>
          <w:p w14:paraId="635971E2" w14:textId="7C730924"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1st segment point</w:t>
            </w:r>
          </w:p>
        </w:tc>
        <w:tc>
          <w:tcPr>
            <w:tcW w:w="1446" w:type="dxa"/>
            <w:tcBorders>
              <w:top w:val="nil"/>
              <w:left w:val="nil"/>
              <w:right w:val="nil"/>
            </w:tcBorders>
            <w:shd w:val="clear" w:color="auto" w:fill="auto"/>
            <w:noWrap/>
            <w:vAlign w:val="center"/>
            <w:hideMark/>
          </w:tcPr>
          <w:p w14:paraId="7972DF9D"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8.70 </w:t>
            </w:r>
          </w:p>
        </w:tc>
        <w:tc>
          <w:tcPr>
            <w:tcW w:w="1446" w:type="dxa"/>
            <w:tcBorders>
              <w:top w:val="nil"/>
              <w:left w:val="nil"/>
              <w:right w:val="nil"/>
            </w:tcBorders>
            <w:shd w:val="clear" w:color="auto" w:fill="auto"/>
            <w:noWrap/>
            <w:vAlign w:val="center"/>
            <w:hideMark/>
          </w:tcPr>
          <w:p w14:paraId="46F9752F"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4.40 </w:t>
            </w:r>
          </w:p>
        </w:tc>
        <w:tc>
          <w:tcPr>
            <w:tcW w:w="1446" w:type="dxa"/>
            <w:tcBorders>
              <w:top w:val="nil"/>
              <w:left w:val="nil"/>
              <w:right w:val="nil"/>
            </w:tcBorders>
            <w:shd w:val="clear" w:color="auto" w:fill="auto"/>
            <w:noWrap/>
            <w:vAlign w:val="center"/>
            <w:hideMark/>
          </w:tcPr>
          <w:p w14:paraId="6B115C52"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3.32 </w:t>
            </w:r>
          </w:p>
        </w:tc>
        <w:tc>
          <w:tcPr>
            <w:tcW w:w="1446" w:type="dxa"/>
            <w:tcBorders>
              <w:top w:val="nil"/>
              <w:left w:val="nil"/>
              <w:right w:val="nil"/>
            </w:tcBorders>
            <w:shd w:val="clear" w:color="auto" w:fill="auto"/>
            <w:noWrap/>
            <w:vAlign w:val="center"/>
            <w:hideMark/>
          </w:tcPr>
          <w:p w14:paraId="140FA43D" w14:textId="4874984C"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3.80 </w:t>
            </w:r>
          </w:p>
        </w:tc>
        <w:tc>
          <w:tcPr>
            <w:tcW w:w="1446" w:type="dxa"/>
            <w:tcBorders>
              <w:top w:val="nil"/>
              <w:left w:val="nil"/>
              <w:right w:val="nil"/>
            </w:tcBorders>
            <w:shd w:val="clear" w:color="auto" w:fill="auto"/>
            <w:noWrap/>
            <w:vAlign w:val="center"/>
            <w:hideMark/>
          </w:tcPr>
          <w:p w14:paraId="371C61BF" w14:textId="71774C78"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1.76 </w:t>
            </w:r>
            <w:r w:rsidR="00CD381B" w:rsidRPr="001011F3">
              <w:rPr>
                <w:rFonts w:asciiTheme="majorHAnsi" w:eastAsia="Yu Gothic" w:hAnsiTheme="majorHAnsi" w:cstheme="majorHAnsi"/>
                <w:color w:val="000000"/>
                <w:kern w:val="0"/>
                <w:sz w:val="22"/>
              </w:rPr>
              <w:t>(*)</w:t>
            </w:r>
          </w:p>
        </w:tc>
      </w:tr>
      <w:tr w:rsidR="00A97BCA" w:rsidRPr="00A97BCA" w14:paraId="2A836092" w14:textId="77777777" w:rsidTr="001011F3">
        <w:trPr>
          <w:trHeight w:val="390"/>
        </w:trPr>
        <w:tc>
          <w:tcPr>
            <w:tcW w:w="2268" w:type="dxa"/>
            <w:tcBorders>
              <w:top w:val="nil"/>
              <w:left w:val="nil"/>
              <w:bottom w:val="single" w:sz="4" w:space="0" w:color="auto"/>
              <w:right w:val="nil"/>
            </w:tcBorders>
            <w:shd w:val="clear" w:color="auto" w:fill="auto"/>
            <w:noWrap/>
            <w:vAlign w:val="center"/>
            <w:hideMark/>
          </w:tcPr>
          <w:p w14:paraId="37EACD4A" w14:textId="514E0BA5"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2nd segment point</w:t>
            </w:r>
          </w:p>
        </w:tc>
        <w:tc>
          <w:tcPr>
            <w:tcW w:w="1446" w:type="dxa"/>
            <w:tcBorders>
              <w:top w:val="nil"/>
              <w:left w:val="nil"/>
              <w:bottom w:val="single" w:sz="4" w:space="0" w:color="auto"/>
              <w:right w:val="nil"/>
            </w:tcBorders>
            <w:shd w:val="clear" w:color="auto" w:fill="auto"/>
            <w:noWrap/>
            <w:vAlign w:val="center"/>
            <w:hideMark/>
          </w:tcPr>
          <w:p w14:paraId="45D25305"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23.45 </w:t>
            </w:r>
          </w:p>
        </w:tc>
        <w:tc>
          <w:tcPr>
            <w:tcW w:w="1446" w:type="dxa"/>
            <w:tcBorders>
              <w:top w:val="nil"/>
              <w:left w:val="nil"/>
              <w:bottom w:val="single" w:sz="4" w:space="0" w:color="auto"/>
              <w:right w:val="nil"/>
            </w:tcBorders>
            <w:shd w:val="clear" w:color="auto" w:fill="auto"/>
            <w:noWrap/>
            <w:vAlign w:val="center"/>
            <w:hideMark/>
          </w:tcPr>
          <w:p w14:paraId="30C7B711"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15.89 </w:t>
            </w:r>
          </w:p>
        </w:tc>
        <w:tc>
          <w:tcPr>
            <w:tcW w:w="1446" w:type="dxa"/>
            <w:tcBorders>
              <w:top w:val="nil"/>
              <w:left w:val="nil"/>
              <w:bottom w:val="single" w:sz="4" w:space="0" w:color="auto"/>
              <w:right w:val="nil"/>
            </w:tcBorders>
            <w:shd w:val="clear" w:color="auto" w:fill="auto"/>
            <w:noWrap/>
            <w:vAlign w:val="center"/>
            <w:hideMark/>
          </w:tcPr>
          <w:p w14:paraId="78C6CF41" w14:textId="77777777"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10.42 </w:t>
            </w:r>
          </w:p>
        </w:tc>
        <w:tc>
          <w:tcPr>
            <w:tcW w:w="1446" w:type="dxa"/>
            <w:tcBorders>
              <w:top w:val="nil"/>
              <w:left w:val="nil"/>
              <w:bottom w:val="single" w:sz="4" w:space="0" w:color="auto"/>
              <w:right w:val="nil"/>
            </w:tcBorders>
            <w:shd w:val="clear" w:color="auto" w:fill="auto"/>
            <w:noWrap/>
            <w:vAlign w:val="center"/>
            <w:hideMark/>
          </w:tcPr>
          <w:p w14:paraId="7E09E6C6" w14:textId="7B05106A"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10.29 </w:t>
            </w:r>
          </w:p>
        </w:tc>
        <w:tc>
          <w:tcPr>
            <w:tcW w:w="1446" w:type="dxa"/>
            <w:tcBorders>
              <w:top w:val="nil"/>
              <w:left w:val="nil"/>
              <w:bottom w:val="single" w:sz="4" w:space="0" w:color="auto"/>
              <w:right w:val="nil"/>
            </w:tcBorders>
            <w:shd w:val="clear" w:color="auto" w:fill="auto"/>
            <w:noWrap/>
            <w:vAlign w:val="center"/>
            <w:hideMark/>
          </w:tcPr>
          <w:p w14:paraId="5CE72500" w14:textId="2E9BE125" w:rsidR="00A97BCA" w:rsidRPr="001011F3" w:rsidRDefault="00A97BCA" w:rsidP="00A97BCA">
            <w:pPr>
              <w:widowControl/>
              <w:jc w:val="center"/>
              <w:rPr>
                <w:rFonts w:asciiTheme="majorHAnsi" w:eastAsia="Yu Gothic" w:hAnsiTheme="majorHAnsi" w:cstheme="majorHAnsi"/>
                <w:color w:val="000000"/>
                <w:kern w:val="0"/>
                <w:sz w:val="22"/>
              </w:rPr>
            </w:pPr>
            <w:r w:rsidRPr="001011F3">
              <w:rPr>
                <w:rFonts w:asciiTheme="majorHAnsi" w:eastAsia="Yu Gothic" w:hAnsiTheme="majorHAnsi" w:cstheme="majorHAnsi"/>
                <w:color w:val="000000"/>
                <w:kern w:val="0"/>
                <w:sz w:val="22"/>
              </w:rPr>
              <w:t xml:space="preserve">7.38 </w:t>
            </w:r>
            <w:r w:rsidR="00CD381B" w:rsidRPr="001011F3">
              <w:rPr>
                <w:rFonts w:asciiTheme="majorHAnsi" w:eastAsia="Yu Gothic" w:hAnsiTheme="majorHAnsi" w:cstheme="majorHAnsi"/>
                <w:color w:val="000000"/>
                <w:kern w:val="0"/>
                <w:sz w:val="22"/>
              </w:rPr>
              <w:t>(*)</w:t>
            </w:r>
          </w:p>
        </w:tc>
      </w:tr>
      <w:tr w:rsidR="001F579A" w:rsidRPr="00A97BCA" w14:paraId="6F315A88" w14:textId="77777777" w:rsidTr="008D4EB3">
        <w:trPr>
          <w:trHeight w:val="390"/>
        </w:trPr>
        <w:tc>
          <w:tcPr>
            <w:tcW w:w="9498"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0635CAEF" w14:textId="77777777" w:rsidR="001F579A" w:rsidRDefault="001F579A">
            <w:pPr>
              <w:jc w:val="left"/>
              <w:rPr>
                <w:rFonts w:asciiTheme="majorHAnsi" w:hAnsiTheme="majorHAnsi" w:cstheme="majorHAnsi"/>
              </w:rPr>
            </w:pPr>
            <w:r w:rsidRPr="000A75B3">
              <w:rPr>
                <w:rFonts w:asciiTheme="majorHAnsi" w:hAnsiTheme="majorHAnsi" w:cstheme="majorHAnsi"/>
              </w:rPr>
              <w:t>(*Limited reliability of the results due to the data limitation.)</w:t>
            </w:r>
          </w:p>
          <w:p w14:paraId="003FB59F" w14:textId="77777777" w:rsidR="002E2C7A" w:rsidRDefault="002E2C7A">
            <w:pPr>
              <w:jc w:val="left"/>
              <w:rPr>
                <w:rFonts w:asciiTheme="majorHAnsi" w:hAnsiTheme="majorHAnsi" w:cstheme="majorHAnsi"/>
              </w:rPr>
            </w:pPr>
          </w:p>
          <w:p w14:paraId="2B1F69FA" w14:textId="32F45759" w:rsidR="002E2C7A" w:rsidRPr="001011F3" w:rsidRDefault="002E2C7A" w:rsidP="001011F3">
            <w:pPr>
              <w:jc w:val="left"/>
              <w:rPr>
                <w:rFonts w:asciiTheme="majorHAnsi" w:hAnsiTheme="majorHAnsi" w:cstheme="majorHAnsi"/>
              </w:rPr>
            </w:pPr>
          </w:p>
        </w:tc>
      </w:tr>
    </w:tbl>
    <w:p w14:paraId="4F30FB9B" w14:textId="4E440931" w:rsidR="00E7314C" w:rsidRPr="00E7314C" w:rsidRDefault="00C225E0" w:rsidP="00E7314C">
      <w:pPr>
        <w:spacing w:line="276" w:lineRule="auto"/>
        <w:jc w:val="left"/>
        <w:rPr>
          <w:b/>
          <w:bCs/>
        </w:rPr>
      </w:pPr>
      <w:r w:rsidRPr="008C3F03">
        <w:rPr>
          <w:rFonts w:hint="eastAsia"/>
          <w:b/>
          <w:bCs/>
        </w:rPr>
        <w:t>Conclusion</w:t>
      </w:r>
    </w:p>
    <w:p w14:paraId="1937C493" w14:textId="77777777" w:rsidR="00BD329D" w:rsidRDefault="00BD329D" w:rsidP="00BD329D">
      <w:pPr>
        <w:pStyle w:val="ListParagraph"/>
        <w:numPr>
          <w:ilvl w:val="0"/>
          <w:numId w:val="25"/>
        </w:numPr>
        <w:spacing w:line="276" w:lineRule="auto"/>
        <w:ind w:leftChars="0"/>
        <w:jc w:val="left"/>
      </w:pPr>
      <w:r>
        <w:t xml:space="preserve">Current density levels of most VME indicator taxa were reasonable, or rather precautional. Thus, continual application of current density levels is recommended to define VMEs by Japanese-proposed method. </w:t>
      </w:r>
    </w:p>
    <w:p w14:paraId="42BAFEE9" w14:textId="77777777" w:rsidR="006F29F0" w:rsidRDefault="006F29F0" w:rsidP="00F85937">
      <w:pPr>
        <w:spacing w:line="276" w:lineRule="auto"/>
        <w:jc w:val="left"/>
        <w:rPr>
          <w:b/>
          <w:bCs/>
        </w:rPr>
      </w:pPr>
    </w:p>
    <w:p w14:paraId="66CD410C" w14:textId="77777777" w:rsidR="00BD329D" w:rsidRDefault="00BD329D" w:rsidP="00F85937">
      <w:pPr>
        <w:spacing w:line="276" w:lineRule="auto"/>
        <w:jc w:val="left"/>
        <w:rPr>
          <w:b/>
          <w:bCs/>
        </w:rPr>
      </w:pPr>
    </w:p>
    <w:p w14:paraId="17ACE7AB" w14:textId="7428225B" w:rsidR="003049D4" w:rsidRPr="008C3F03" w:rsidRDefault="003049D4" w:rsidP="00F85937">
      <w:pPr>
        <w:spacing w:line="276" w:lineRule="auto"/>
        <w:jc w:val="left"/>
        <w:rPr>
          <w:b/>
          <w:bCs/>
        </w:rPr>
      </w:pPr>
      <w:r w:rsidRPr="008C3F03">
        <w:rPr>
          <w:b/>
          <w:bCs/>
        </w:rPr>
        <w:t>Acknowledgements</w:t>
      </w:r>
    </w:p>
    <w:p w14:paraId="625810F1" w14:textId="305A8806" w:rsidR="00C225E0" w:rsidRDefault="003049D4" w:rsidP="00F85937">
      <w:pPr>
        <w:spacing w:line="276" w:lineRule="auto"/>
        <w:jc w:val="left"/>
      </w:pPr>
      <w:r>
        <w:t>This work is conducted as a part</w:t>
      </w:r>
      <w:r w:rsidR="00A812AF">
        <w:t xml:space="preserve"> of</w:t>
      </w:r>
      <w:r>
        <w:t xml:space="preserve"> the project </w:t>
      </w:r>
      <w:r w:rsidR="00DF3D24">
        <w:t>to</w:t>
      </w:r>
      <w:r>
        <w:t xml:space="preserve"> </w:t>
      </w:r>
      <w:r w:rsidR="00DF3D24">
        <w:t xml:space="preserve">evaluate the </w:t>
      </w:r>
      <w:r>
        <w:t>status of international fishery resources by the Fisheries Agency of Japan. We wish to express our gratitude to the staff of Fishery Agency of Japan and Fisheries Research Agency, the captain and crew of the R/V Kaiyo-Maru.</w:t>
      </w:r>
      <w:r w:rsidR="00434C3E">
        <w:rPr>
          <w:rFonts w:hint="eastAsia"/>
        </w:rPr>
        <w:t xml:space="preserve"> We also thank Dr. Mai Miyamoto</w:t>
      </w:r>
      <w:r w:rsidR="004C3512">
        <w:rPr>
          <w:rFonts w:hint="eastAsia"/>
        </w:rPr>
        <w:t xml:space="preserve"> </w:t>
      </w:r>
      <w:r w:rsidR="00434C3E">
        <w:rPr>
          <w:rFonts w:hint="eastAsia"/>
        </w:rPr>
        <w:t>for helpful comments.</w:t>
      </w:r>
    </w:p>
    <w:p w14:paraId="2BD88961" w14:textId="77777777" w:rsidR="003049D4" w:rsidRDefault="003049D4" w:rsidP="008C3F03">
      <w:pPr>
        <w:jc w:val="left"/>
      </w:pPr>
    </w:p>
    <w:p w14:paraId="294403E8" w14:textId="77777777" w:rsidR="003049D4" w:rsidRPr="003049D4" w:rsidRDefault="003049D4" w:rsidP="008C3F03">
      <w:pPr>
        <w:jc w:val="left"/>
      </w:pPr>
    </w:p>
    <w:p w14:paraId="6C672EC8" w14:textId="3D009DB2" w:rsidR="00C225E0" w:rsidRPr="008C3F03" w:rsidRDefault="00C225E0" w:rsidP="008C3F03">
      <w:pPr>
        <w:jc w:val="left"/>
        <w:rPr>
          <w:b/>
          <w:bCs/>
        </w:rPr>
      </w:pPr>
      <w:r w:rsidRPr="008C3F03">
        <w:rPr>
          <w:rFonts w:hint="eastAsia"/>
          <w:b/>
          <w:bCs/>
        </w:rPr>
        <w:t>References</w:t>
      </w:r>
    </w:p>
    <w:p w14:paraId="70309259" w14:textId="7C9B104C" w:rsidR="003E0ECF" w:rsidRDefault="003E0ECF" w:rsidP="000F08C5">
      <w:pPr>
        <w:pStyle w:val="ListParagraph"/>
        <w:numPr>
          <w:ilvl w:val="0"/>
          <w:numId w:val="19"/>
        </w:numPr>
        <w:ind w:leftChars="0"/>
      </w:pPr>
      <w:r w:rsidRPr="003E0ECF">
        <w:t xml:space="preserve">Miyamoto, M. &amp; </w:t>
      </w:r>
      <w:proofErr w:type="spellStart"/>
      <w:r w:rsidRPr="003E0ECF">
        <w:t>Yonezaki</w:t>
      </w:r>
      <w:proofErr w:type="spellEnd"/>
      <w:r w:rsidRPr="003E0ECF">
        <w:t>. S. 2019. Updating assessment of the potential impacts of Japanese bottom fisheries on vulnerable marine ecosystems (VMEs) in the Emperor Seamounts region. NPFC-2019-SSC VME04-WP02. 17 pp.</w:t>
      </w:r>
    </w:p>
    <w:p w14:paraId="335EA020" w14:textId="608BD9D4" w:rsidR="00112196" w:rsidRDefault="00112196" w:rsidP="00112196">
      <w:pPr>
        <w:pStyle w:val="ListParagraph"/>
        <w:numPr>
          <w:ilvl w:val="0"/>
          <w:numId w:val="19"/>
        </w:numPr>
        <w:ind w:leftChars="0"/>
        <w:jc w:val="left"/>
      </w:pPr>
      <w:r>
        <w:t>Muggeo</w:t>
      </w:r>
      <w:r>
        <w:rPr>
          <w:rFonts w:hint="eastAsia"/>
        </w:rPr>
        <w:t>,</w:t>
      </w:r>
      <w:r>
        <w:t xml:space="preserve"> V</w:t>
      </w:r>
      <w:r>
        <w:rPr>
          <w:rFonts w:hint="eastAsia"/>
        </w:rPr>
        <w:t>.</w:t>
      </w:r>
      <w:r>
        <w:t>M</w:t>
      </w:r>
      <w:r>
        <w:rPr>
          <w:rFonts w:hint="eastAsia"/>
        </w:rPr>
        <w:t>.</w:t>
      </w:r>
      <w:r>
        <w:t>R</w:t>
      </w:r>
      <w:r>
        <w:rPr>
          <w:rFonts w:hint="eastAsia"/>
        </w:rPr>
        <w:t>.</w:t>
      </w:r>
      <w:r>
        <w:t xml:space="preserve"> 2008. segmented: an R Package to Fit Regression Models with Broken-Line Relationships. R News,</w:t>
      </w:r>
      <w:r>
        <w:rPr>
          <w:rFonts w:hint="eastAsia"/>
        </w:rPr>
        <w:t xml:space="preserve"> </w:t>
      </w:r>
      <w:r>
        <w:t xml:space="preserve">8/1, 20-25. </w:t>
      </w:r>
      <w:r>
        <w:rPr>
          <w:rFonts w:hint="eastAsia"/>
        </w:rPr>
        <w:t>&lt;</w:t>
      </w:r>
      <w:r>
        <w:t>https://cran.r-project.org/doc/Rnews/</w:t>
      </w:r>
      <w:r>
        <w:rPr>
          <w:rFonts w:hint="eastAsia"/>
        </w:rPr>
        <w:t>&gt;</w:t>
      </w:r>
      <w:r>
        <w:t>.</w:t>
      </w:r>
    </w:p>
    <w:p w14:paraId="10DC3031" w14:textId="77777777" w:rsidR="00E04998" w:rsidRDefault="00E04998" w:rsidP="00E04998">
      <w:pPr>
        <w:pStyle w:val="ListParagraph"/>
        <w:numPr>
          <w:ilvl w:val="0"/>
          <w:numId w:val="19"/>
        </w:numPr>
        <w:ind w:leftChars="0"/>
        <w:jc w:val="left"/>
      </w:pPr>
      <w:r>
        <w:rPr>
          <w:rFonts w:hint="eastAsia"/>
        </w:rPr>
        <w:t xml:space="preserve">NPFC </w:t>
      </w:r>
      <w:r w:rsidRPr="008B1665">
        <w:t>CMM 202</w:t>
      </w:r>
      <w:r>
        <w:rPr>
          <w:rFonts w:hint="eastAsia"/>
        </w:rPr>
        <w:t>4</w:t>
      </w:r>
      <w:r w:rsidRPr="008B1665">
        <w:t>-05</w:t>
      </w:r>
      <w:r>
        <w:rPr>
          <w:rFonts w:hint="eastAsia"/>
        </w:rPr>
        <w:t>.</w:t>
      </w:r>
      <w:r w:rsidRPr="008B1665">
        <w:t xml:space="preserve"> For Bottom Fisheries and Protection of VMEs in the NW Pacific Ocean (</w:t>
      </w:r>
      <w:r w:rsidRPr="007F05AD">
        <w:t>Entered into force 1 January 2025</w:t>
      </w:r>
      <w:r w:rsidRPr="008B1665">
        <w:t>)</w:t>
      </w:r>
      <w:r>
        <w:rPr>
          <w:rFonts w:hint="eastAsia"/>
        </w:rPr>
        <w:t>.</w:t>
      </w:r>
    </w:p>
    <w:p w14:paraId="6A318BFC" w14:textId="77777777" w:rsidR="00E04998" w:rsidRDefault="00E04998" w:rsidP="00E04998">
      <w:pPr>
        <w:pStyle w:val="ListParagraph"/>
        <w:numPr>
          <w:ilvl w:val="0"/>
          <w:numId w:val="19"/>
        </w:numPr>
        <w:ind w:leftChars="0"/>
        <w:jc w:val="left"/>
      </w:pPr>
      <w:r>
        <w:rPr>
          <w:rFonts w:hint="eastAsia"/>
        </w:rPr>
        <w:t xml:space="preserve">NPFC </w:t>
      </w:r>
      <w:r w:rsidRPr="008B1665">
        <w:t>CMM 202</w:t>
      </w:r>
      <w:r>
        <w:rPr>
          <w:rFonts w:hint="eastAsia"/>
        </w:rPr>
        <w:t>4</w:t>
      </w:r>
      <w:r w:rsidRPr="008B1665">
        <w:t>-0</w:t>
      </w:r>
      <w:r>
        <w:rPr>
          <w:rFonts w:hint="eastAsia"/>
        </w:rPr>
        <w:t>6.</w:t>
      </w:r>
      <w:r w:rsidRPr="008B1665">
        <w:t xml:space="preserve"> For Bottom Fisheries and Protection of VMEs in the N</w:t>
      </w:r>
      <w:r>
        <w:rPr>
          <w:rFonts w:hint="eastAsia"/>
        </w:rPr>
        <w:t>E</w:t>
      </w:r>
      <w:r w:rsidRPr="008B1665">
        <w:t xml:space="preserve"> Pacific Ocean </w:t>
      </w:r>
      <w:r w:rsidRPr="007F05AD">
        <w:t>(Entered into force 24 July 2024</w:t>
      </w:r>
      <w:r w:rsidRPr="008B1665">
        <w:t>)</w:t>
      </w:r>
      <w:r>
        <w:rPr>
          <w:rFonts w:hint="eastAsia"/>
        </w:rPr>
        <w:t>.</w:t>
      </w:r>
    </w:p>
    <w:p w14:paraId="42A1AFBE" w14:textId="1C9E5BE3" w:rsidR="00112196" w:rsidRDefault="00112196" w:rsidP="00112196">
      <w:pPr>
        <w:pStyle w:val="ListParagraph"/>
        <w:numPr>
          <w:ilvl w:val="0"/>
          <w:numId w:val="19"/>
        </w:numPr>
        <w:ind w:leftChars="0"/>
        <w:jc w:val="left"/>
      </w:pPr>
      <w:r>
        <w:t>R Core Team</w:t>
      </w:r>
      <w:r>
        <w:rPr>
          <w:rFonts w:hint="eastAsia"/>
        </w:rPr>
        <w:t xml:space="preserve">, </w:t>
      </w:r>
      <w:r>
        <w:t>2024. _R: A Language and Environment for Statistical Computing_. R Foundation for Statistical</w:t>
      </w:r>
      <w:r>
        <w:rPr>
          <w:rFonts w:hint="eastAsia"/>
        </w:rPr>
        <w:t xml:space="preserve"> </w:t>
      </w:r>
      <w:r>
        <w:t>Computing, Vienna, Austria. &lt;https://www.R-project.org/&gt;.</w:t>
      </w:r>
    </w:p>
    <w:p w14:paraId="1104B5DB" w14:textId="6C3F9E28" w:rsidR="00CA5A2F" w:rsidRDefault="00CA5A2F" w:rsidP="0049529D">
      <w:pPr>
        <w:pStyle w:val="ListParagraph"/>
        <w:numPr>
          <w:ilvl w:val="0"/>
          <w:numId w:val="19"/>
        </w:numPr>
        <w:ind w:leftChars="0"/>
        <w:jc w:val="left"/>
      </w:pPr>
      <w:r w:rsidRPr="00CA5A2F">
        <w:t xml:space="preserve">Small Scientific Committee on Bottom Fish and Marine Ecosystems. 2023. 4th Meeting Report. NPFC-2023-SSC BF-ME04-Final Report. 135 pp. (Available at </w:t>
      </w:r>
      <w:hyperlink r:id="rId9" w:history="1">
        <w:r w:rsidR="006712B5" w:rsidRPr="0075344D">
          <w:rPr>
            <w:rStyle w:val="Hyperlink"/>
          </w:rPr>
          <w:t>www.npfc.int</w:t>
        </w:r>
      </w:hyperlink>
      <w:r w:rsidRPr="00CA5A2F">
        <w:t>)</w:t>
      </w:r>
    </w:p>
    <w:p w14:paraId="14FC471A" w14:textId="0F0DB60E" w:rsidR="008F057A" w:rsidRDefault="008F057A" w:rsidP="008F057A">
      <w:pPr>
        <w:pStyle w:val="ListParagraph"/>
        <w:numPr>
          <w:ilvl w:val="0"/>
          <w:numId w:val="19"/>
        </w:numPr>
        <w:ind w:leftChars="0"/>
        <w:jc w:val="left"/>
      </w:pPr>
      <w:r>
        <w:lastRenderedPageBreak/>
        <w:t>Vito M. R. Muggeo</w:t>
      </w:r>
      <w:r w:rsidR="000F08C5">
        <w:rPr>
          <w:rFonts w:hint="eastAsia"/>
        </w:rPr>
        <w:t>.</w:t>
      </w:r>
      <w:r>
        <w:t xml:space="preserve"> 2008. segmented: an R Package to Fit Regression Models with Broken-Line Relationships. R News, 8/1, 20-25. </w:t>
      </w:r>
      <w:hyperlink r:id="rId10" w:history="1">
        <w:r w:rsidRPr="00991991">
          <w:rPr>
            <w:rStyle w:val="Hyperlink"/>
          </w:rPr>
          <w:t>https://cran.r-project.org/doc/Rnews/</w:t>
        </w:r>
      </w:hyperlink>
      <w:r>
        <w:t>.</w:t>
      </w:r>
    </w:p>
    <w:p w14:paraId="4BAD5E20" w14:textId="4ECDBB7E" w:rsidR="000F08C5" w:rsidRDefault="000F08C5" w:rsidP="000F08C5">
      <w:pPr>
        <w:pStyle w:val="ListParagraph"/>
        <w:numPr>
          <w:ilvl w:val="0"/>
          <w:numId w:val="19"/>
        </w:numPr>
        <w:ind w:leftChars="0"/>
        <w:jc w:val="left"/>
      </w:pPr>
      <w:r>
        <w:rPr>
          <w:rFonts w:hint="eastAsia"/>
        </w:rPr>
        <w:t xml:space="preserve">Warawa, D. R., Chu, J. W. F., Rooper, C. N., Georgian, S., Nephin, J., Dudas, S., Knudby, A. &amp; Curtis, J. M. R. 2021. </w:t>
      </w:r>
      <w:r>
        <w:t>Using Predictive Habitat Models and Visual Surveys to Identify</w:t>
      </w:r>
      <w:r>
        <w:rPr>
          <w:rFonts w:hint="eastAsia"/>
        </w:rPr>
        <w:t xml:space="preserve"> </w:t>
      </w:r>
      <w:r>
        <w:t>Vulnerable Marine Ecosystems on Seamounts in the North Pacific Fisheries Commission Convention Area</w:t>
      </w:r>
      <w:r>
        <w:rPr>
          <w:rFonts w:hint="eastAsia"/>
        </w:rPr>
        <w:t xml:space="preserve">. </w:t>
      </w:r>
      <w:r w:rsidRPr="000F08C5">
        <w:t>NPFC-2021-BFME02-WP05</w:t>
      </w:r>
      <w:r>
        <w:rPr>
          <w:rFonts w:hint="eastAsia"/>
        </w:rPr>
        <w:t>. 44pp.</w:t>
      </w:r>
    </w:p>
    <w:p w14:paraId="25391E0B" w14:textId="77777777" w:rsidR="008F057A" w:rsidRPr="008F057A" w:rsidRDefault="008F057A" w:rsidP="008F057A">
      <w:pPr>
        <w:pStyle w:val="ListParagraph"/>
        <w:numPr>
          <w:ilvl w:val="0"/>
          <w:numId w:val="19"/>
        </w:numPr>
        <w:ind w:leftChars="0"/>
      </w:pPr>
      <w:r w:rsidRPr="008F057A">
        <w:t xml:space="preserve">Yamaguchi, M., Osawa, Y., Miyamoto, M., &amp; Rooper, C. 2024. Translation table of VME indicator corals between common and scientific names. NPFC-2024-SSC BFME05-WPXX. 5pp. </w:t>
      </w:r>
    </w:p>
    <w:p w14:paraId="4B0422EF" w14:textId="77777777" w:rsidR="008F057A" w:rsidRDefault="008F057A" w:rsidP="008F057A">
      <w:pPr>
        <w:jc w:val="left"/>
      </w:pPr>
    </w:p>
    <w:p w14:paraId="3A3806DD" w14:textId="12F4E2DE" w:rsidR="00F33B56" w:rsidRPr="00C225E0" w:rsidRDefault="00F33B56" w:rsidP="008F057A">
      <w:pPr>
        <w:jc w:val="left"/>
      </w:pPr>
    </w:p>
    <w:sectPr w:rsidR="00F33B56" w:rsidRPr="00C225E0" w:rsidSect="00473456">
      <w:footerReference w:type="default" r:id="rId11"/>
      <w:headerReference w:type="first" r:id="rId12"/>
      <w:footerReference w:type="first" r:id="rId13"/>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CDFA0" w14:textId="77777777" w:rsidR="00621418" w:rsidRDefault="00621418" w:rsidP="001E4075">
      <w:r>
        <w:separator/>
      </w:r>
    </w:p>
  </w:endnote>
  <w:endnote w:type="continuationSeparator" w:id="0">
    <w:p w14:paraId="64947470" w14:textId="77777777" w:rsidR="00621418" w:rsidRDefault="00621418"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CFB43" w14:textId="77777777" w:rsidR="00621418" w:rsidRDefault="00621418" w:rsidP="001E4075">
      <w:r>
        <w:separator/>
      </w:r>
    </w:p>
  </w:footnote>
  <w:footnote w:type="continuationSeparator" w:id="0">
    <w:p w14:paraId="4D43622F" w14:textId="77777777" w:rsidR="00621418" w:rsidRDefault="00621418"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13CE9"/>
    <w:multiLevelType w:val="hybridMultilevel"/>
    <w:tmpl w:val="E45AFA64"/>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A7C363A"/>
    <w:multiLevelType w:val="hybridMultilevel"/>
    <w:tmpl w:val="31AE5B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1ED3F6F"/>
    <w:multiLevelType w:val="hybridMultilevel"/>
    <w:tmpl w:val="7D3033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4B57954"/>
    <w:multiLevelType w:val="hybridMultilevel"/>
    <w:tmpl w:val="BE4AB9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D4502"/>
    <w:multiLevelType w:val="hybridMultilevel"/>
    <w:tmpl w:val="138A0B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76A1255"/>
    <w:multiLevelType w:val="hybridMultilevel"/>
    <w:tmpl w:val="F8E868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75E1562"/>
    <w:multiLevelType w:val="hybridMultilevel"/>
    <w:tmpl w:val="03E829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BE54EA"/>
    <w:multiLevelType w:val="hybridMultilevel"/>
    <w:tmpl w:val="B88E9E8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4"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969167559">
    <w:abstractNumId w:val="22"/>
  </w:num>
  <w:num w:numId="2" w16cid:durableId="1790857996">
    <w:abstractNumId w:val="7"/>
  </w:num>
  <w:num w:numId="3" w16cid:durableId="2053190078">
    <w:abstractNumId w:val="18"/>
  </w:num>
  <w:num w:numId="4" w16cid:durableId="520052525">
    <w:abstractNumId w:val="2"/>
  </w:num>
  <w:num w:numId="5" w16cid:durableId="422992966">
    <w:abstractNumId w:val="5"/>
  </w:num>
  <w:num w:numId="6" w16cid:durableId="783306735">
    <w:abstractNumId w:val="4"/>
  </w:num>
  <w:num w:numId="7" w16cid:durableId="1934165907">
    <w:abstractNumId w:val="15"/>
  </w:num>
  <w:num w:numId="8" w16cid:durableId="1141460781">
    <w:abstractNumId w:val="13"/>
  </w:num>
  <w:num w:numId="9" w16cid:durableId="1322586319">
    <w:abstractNumId w:val="1"/>
  </w:num>
  <w:num w:numId="10" w16cid:durableId="1131246141">
    <w:abstractNumId w:val="0"/>
  </w:num>
  <w:num w:numId="11" w16cid:durableId="11810240">
    <w:abstractNumId w:val="11"/>
  </w:num>
  <w:num w:numId="12" w16cid:durableId="156776662">
    <w:abstractNumId w:val="12"/>
  </w:num>
  <w:num w:numId="13" w16cid:durableId="1426345863">
    <w:abstractNumId w:val="17"/>
  </w:num>
  <w:num w:numId="14" w16cid:durableId="1021393651">
    <w:abstractNumId w:val="21"/>
  </w:num>
  <w:num w:numId="15" w16cid:durableId="335307870">
    <w:abstractNumId w:val="24"/>
  </w:num>
  <w:num w:numId="16" w16cid:durableId="638389542">
    <w:abstractNumId w:val="19"/>
  </w:num>
  <w:num w:numId="17" w16cid:durableId="1249533225">
    <w:abstractNumId w:val="6"/>
  </w:num>
  <w:num w:numId="18" w16cid:durableId="1958563199">
    <w:abstractNumId w:val="9"/>
  </w:num>
  <w:num w:numId="19" w16cid:durableId="1345008878">
    <w:abstractNumId w:val="14"/>
  </w:num>
  <w:num w:numId="20" w16cid:durableId="595288954">
    <w:abstractNumId w:val="3"/>
  </w:num>
  <w:num w:numId="21" w16cid:durableId="135345470">
    <w:abstractNumId w:val="10"/>
  </w:num>
  <w:num w:numId="22" w16cid:durableId="835414952">
    <w:abstractNumId w:val="16"/>
  </w:num>
  <w:num w:numId="23" w16cid:durableId="1633901360">
    <w:abstractNumId w:val="20"/>
  </w:num>
  <w:num w:numId="24" w16cid:durableId="404574398">
    <w:abstractNumId w:val="23"/>
  </w:num>
  <w:num w:numId="25" w16cid:durableId="1449395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12AF"/>
    <w:rsid w:val="00014A42"/>
    <w:rsid w:val="00023D7A"/>
    <w:rsid w:val="00026E94"/>
    <w:rsid w:val="00027A27"/>
    <w:rsid w:val="000348F9"/>
    <w:rsid w:val="00041374"/>
    <w:rsid w:val="00044F1E"/>
    <w:rsid w:val="00051276"/>
    <w:rsid w:val="00051EE5"/>
    <w:rsid w:val="0005251C"/>
    <w:rsid w:val="000529C5"/>
    <w:rsid w:val="00052E64"/>
    <w:rsid w:val="0005577E"/>
    <w:rsid w:val="00055C0B"/>
    <w:rsid w:val="00061FD2"/>
    <w:rsid w:val="000704A8"/>
    <w:rsid w:val="000834EC"/>
    <w:rsid w:val="00091A0B"/>
    <w:rsid w:val="000A0308"/>
    <w:rsid w:val="000A1FE5"/>
    <w:rsid w:val="000B2136"/>
    <w:rsid w:val="000B2BF8"/>
    <w:rsid w:val="000B6458"/>
    <w:rsid w:val="000C3119"/>
    <w:rsid w:val="000C3272"/>
    <w:rsid w:val="000C59D9"/>
    <w:rsid w:val="000C793C"/>
    <w:rsid w:val="000D0912"/>
    <w:rsid w:val="000D1AEF"/>
    <w:rsid w:val="000D6031"/>
    <w:rsid w:val="000D79B2"/>
    <w:rsid w:val="000E7F0D"/>
    <w:rsid w:val="000F08C5"/>
    <w:rsid w:val="000F3581"/>
    <w:rsid w:val="000F6362"/>
    <w:rsid w:val="000F73E2"/>
    <w:rsid w:val="00101045"/>
    <w:rsid w:val="001011F3"/>
    <w:rsid w:val="001059C0"/>
    <w:rsid w:val="00110C06"/>
    <w:rsid w:val="00112196"/>
    <w:rsid w:val="0011623C"/>
    <w:rsid w:val="00117402"/>
    <w:rsid w:val="0012011D"/>
    <w:rsid w:val="00124221"/>
    <w:rsid w:val="0012771E"/>
    <w:rsid w:val="001304E5"/>
    <w:rsid w:val="00145712"/>
    <w:rsid w:val="00151683"/>
    <w:rsid w:val="00152088"/>
    <w:rsid w:val="001570D0"/>
    <w:rsid w:val="001625F3"/>
    <w:rsid w:val="0016276B"/>
    <w:rsid w:val="0016564E"/>
    <w:rsid w:val="00166A4A"/>
    <w:rsid w:val="00167F65"/>
    <w:rsid w:val="001746CB"/>
    <w:rsid w:val="00174B55"/>
    <w:rsid w:val="001808DA"/>
    <w:rsid w:val="001858A3"/>
    <w:rsid w:val="001901CC"/>
    <w:rsid w:val="00191234"/>
    <w:rsid w:val="001940C9"/>
    <w:rsid w:val="001A0A3F"/>
    <w:rsid w:val="001A18B1"/>
    <w:rsid w:val="001A627C"/>
    <w:rsid w:val="001B0287"/>
    <w:rsid w:val="001C0BA3"/>
    <w:rsid w:val="001D39A0"/>
    <w:rsid w:val="001D682A"/>
    <w:rsid w:val="001D758D"/>
    <w:rsid w:val="001E15B0"/>
    <w:rsid w:val="001E4075"/>
    <w:rsid w:val="001E5FD1"/>
    <w:rsid w:val="001E6536"/>
    <w:rsid w:val="001F2C3C"/>
    <w:rsid w:val="001F3FA3"/>
    <w:rsid w:val="001F579A"/>
    <w:rsid w:val="001F5891"/>
    <w:rsid w:val="00211732"/>
    <w:rsid w:val="0021465E"/>
    <w:rsid w:val="002170D9"/>
    <w:rsid w:val="002354C0"/>
    <w:rsid w:val="002366E2"/>
    <w:rsid w:val="00241B13"/>
    <w:rsid w:val="00244443"/>
    <w:rsid w:val="00254CE4"/>
    <w:rsid w:val="00273B80"/>
    <w:rsid w:val="002763F4"/>
    <w:rsid w:val="00285EAC"/>
    <w:rsid w:val="0029554A"/>
    <w:rsid w:val="002A12A6"/>
    <w:rsid w:val="002A34F1"/>
    <w:rsid w:val="002B1680"/>
    <w:rsid w:val="002B33A7"/>
    <w:rsid w:val="002D0FDB"/>
    <w:rsid w:val="002E054A"/>
    <w:rsid w:val="002E2C7A"/>
    <w:rsid w:val="002E4183"/>
    <w:rsid w:val="002E6611"/>
    <w:rsid w:val="002E774A"/>
    <w:rsid w:val="002F0598"/>
    <w:rsid w:val="00301F65"/>
    <w:rsid w:val="003049D4"/>
    <w:rsid w:val="003117F5"/>
    <w:rsid w:val="00312AF9"/>
    <w:rsid w:val="00312BCE"/>
    <w:rsid w:val="00315F1B"/>
    <w:rsid w:val="0031761D"/>
    <w:rsid w:val="00321065"/>
    <w:rsid w:val="00323643"/>
    <w:rsid w:val="0032446D"/>
    <w:rsid w:val="003263BC"/>
    <w:rsid w:val="00335600"/>
    <w:rsid w:val="00335B8B"/>
    <w:rsid w:val="003419AF"/>
    <w:rsid w:val="00350F43"/>
    <w:rsid w:val="0035748D"/>
    <w:rsid w:val="00360622"/>
    <w:rsid w:val="00360AF4"/>
    <w:rsid w:val="00363663"/>
    <w:rsid w:val="00370067"/>
    <w:rsid w:val="003703D9"/>
    <w:rsid w:val="00386AF4"/>
    <w:rsid w:val="00394B63"/>
    <w:rsid w:val="003A2FCD"/>
    <w:rsid w:val="003B2C17"/>
    <w:rsid w:val="003B7501"/>
    <w:rsid w:val="003C2F8A"/>
    <w:rsid w:val="003C3DEF"/>
    <w:rsid w:val="003D3CEB"/>
    <w:rsid w:val="003E018F"/>
    <w:rsid w:val="003E0ECF"/>
    <w:rsid w:val="003F2054"/>
    <w:rsid w:val="003F7110"/>
    <w:rsid w:val="00400F84"/>
    <w:rsid w:val="004032FA"/>
    <w:rsid w:val="00413FE3"/>
    <w:rsid w:val="00414EF3"/>
    <w:rsid w:val="00420F92"/>
    <w:rsid w:val="0042324B"/>
    <w:rsid w:val="004246EF"/>
    <w:rsid w:val="0043329D"/>
    <w:rsid w:val="00434C3E"/>
    <w:rsid w:val="00436DEC"/>
    <w:rsid w:val="004403A3"/>
    <w:rsid w:val="00443D62"/>
    <w:rsid w:val="0044426C"/>
    <w:rsid w:val="00446F32"/>
    <w:rsid w:val="00454C98"/>
    <w:rsid w:val="0046235F"/>
    <w:rsid w:val="00464DCF"/>
    <w:rsid w:val="00466251"/>
    <w:rsid w:val="00473456"/>
    <w:rsid w:val="0047355B"/>
    <w:rsid w:val="00475B09"/>
    <w:rsid w:val="0048372E"/>
    <w:rsid w:val="00483C8A"/>
    <w:rsid w:val="004847E5"/>
    <w:rsid w:val="004937CA"/>
    <w:rsid w:val="0049529D"/>
    <w:rsid w:val="004B3FEA"/>
    <w:rsid w:val="004B41DB"/>
    <w:rsid w:val="004B5E3D"/>
    <w:rsid w:val="004B65FA"/>
    <w:rsid w:val="004C3512"/>
    <w:rsid w:val="004D0111"/>
    <w:rsid w:val="004E0E25"/>
    <w:rsid w:val="004F59AF"/>
    <w:rsid w:val="00506030"/>
    <w:rsid w:val="00507A93"/>
    <w:rsid w:val="0051448C"/>
    <w:rsid w:val="00517E73"/>
    <w:rsid w:val="005210BB"/>
    <w:rsid w:val="005279FA"/>
    <w:rsid w:val="00531421"/>
    <w:rsid w:val="00531EFA"/>
    <w:rsid w:val="005363DF"/>
    <w:rsid w:val="00537166"/>
    <w:rsid w:val="005414F1"/>
    <w:rsid w:val="00544511"/>
    <w:rsid w:val="00546F75"/>
    <w:rsid w:val="00551342"/>
    <w:rsid w:val="00552ACE"/>
    <w:rsid w:val="0055356F"/>
    <w:rsid w:val="005535A4"/>
    <w:rsid w:val="00554989"/>
    <w:rsid w:val="00555CB3"/>
    <w:rsid w:val="00565054"/>
    <w:rsid w:val="00565504"/>
    <w:rsid w:val="00577519"/>
    <w:rsid w:val="00581D4A"/>
    <w:rsid w:val="0058245A"/>
    <w:rsid w:val="00584F01"/>
    <w:rsid w:val="00584FEC"/>
    <w:rsid w:val="00586A44"/>
    <w:rsid w:val="00587662"/>
    <w:rsid w:val="00590D6C"/>
    <w:rsid w:val="00591EC0"/>
    <w:rsid w:val="005934C1"/>
    <w:rsid w:val="0059745B"/>
    <w:rsid w:val="005A1135"/>
    <w:rsid w:val="005A3B7B"/>
    <w:rsid w:val="005A4DD8"/>
    <w:rsid w:val="005A5014"/>
    <w:rsid w:val="005A64D3"/>
    <w:rsid w:val="005B284B"/>
    <w:rsid w:val="005B6C46"/>
    <w:rsid w:val="005B7C7B"/>
    <w:rsid w:val="005C2998"/>
    <w:rsid w:val="005C3C1B"/>
    <w:rsid w:val="005C3CE2"/>
    <w:rsid w:val="005C3E2E"/>
    <w:rsid w:val="005D1517"/>
    <w:rsid w:val="005D43F9"/>
    <w:rsid w:val="005E1D24"/>
    <w:rsid w:val="005E26A5"/>
    <w:rsid w:val="005F4B0A"/>
    <w:rsid w:val="005F62E8"/>
    <w:rsid w:val="005F7D30"/>
    <w:rsid w:val="00612645"/>
    <w:rsid w:val="0061276B"/>
    <w:rsid w:val="00612ACE"/>
    <w:rsid w:val="00613FF2"/>
    <w:rsid w:val="0062094F"/>
    <w:rsid w:val="00621418"/>
    <w:rsid w:val="006306CC"/>
    <w:rsid w:val="006331D8"/>
    <w:rsid w:val="006335E8"/>
    <w:rsid w:val="00637809"/>
    <w:rsid w:val="0064324F"/>
    <w:rsid w:val="00643F05"/>
    <w:rsid w:val="006454D3"/>
    <w:rsid w:val="00652E14"/>
    <w:rsid w:val="0065451E"/>
    <w:rsid w:val="006563AE"/>
    <w:rsid w:val="006628BA"/>
    <w:rsid w:val="006712B5"/>
    <w:rsid w:val="00671E97"/>
    <w:rsid w:val="0067312F"/>
    <w:rsid w:val="00674FF0"/>
    <w:rsid w:val="0067714B"/>
    <w:rsid w:val="006805D6"/>
    <w:rsid w:val="00683F65"/>
    <w:rsid w:val="0068568A"/>
    <w:rsid w:val="006866CD"/>
    <w:rsid w:val="00690D81"/>
    <w:rsid w:val="006928EE"/>
    <w:rsid w:val="00693608"/>
    <w:rsid w:val="006A7645"/>
    <w:rsid w:val="006B2D44"/>
    <w:rsid w:val="006B4F3E"/>
    <w:rsid w:val="006C4DC2"/>
    <w:rsid w:val="006C6FBD"/>
    <w:rsid w:val="006D02B0"/>
    <w:rsid w:val="006D5D85"/>
    <w:rsid w:val="006D694E"/>
    <w:rsid w:val="006D7F81"/>
    <w:rsid w:val="006E5BCC"/>
    <w:rsid w:val="006E6863"/>
    <w:rsid w:val="006E7957"/>
    <w:rsid w:val="006F29F0"/>
    <w:rsid w:val="006F2FE1"/>
    <w:rsid w:val="006F47E8"/>
    <w:rsid w:val="00702A3B"/>
    <w:rsid w:val="007034B0"/>
    <w:rsid w:val="00706704"/>
    <w:rsid w:val="00710CC4"/>
    <w:rsid w:val="00712C20"/>
    <w:rsid w:val="00715A3A"/>
    <w:rsid w:val="007176E2"/>
    <w:rsid w:val="00720166"/>
    <w:rsid w:val="00727565"/>
    <w:rsid w:val="00731B3E"/>
    <w:rsid w:val="00731F54"/>
    <w:rsid w:val="00735193"/>
    <w:rsid w:val="007409D5"/>
    <w:rsid w:val="00740D06"/>
    <w:rsid w:val="0074396C"/>
    <w:rsid w:val="0074484B"/>
    <w:rsid w:val="0074576B"/>
    <w:rsid w:val="00750B24"/>
    <w:rsid w:val="007520B6"/>
    <w:rsid w:val="007543D8"/>
    <w:rsid w:val="00762BF6"/>
    <w:rsid w:val="00765D50"/>
    <w:rsid w:val="00770C12"/>
    <w:rsid w:val="00772DD1"/>
    <w:rsid w:val="007771B8"/>
    <w:rsid w:val="00790A50"/>
    <w:rsid w:val="00792CFB"/>
    <w:rsid w:val="0079571E"/>
    <w:rsid w:val="00797B8B"/>
    <w:rsid w:val="007A0BF5"/>
    <w:rsid w:val="007A3EE0"/>
    <w:rsid w:val="007A516D"/>
    <w:rsid w:val="007B09F9"/>
    <w:rsid w:val="007B0D00"/>
    <w:rsid w:val="007B0EC6"/>
    <w:rsid w:val="007B1BCB"/>
    <w:rsid w:val="007C3511"/>
    <w:rsid w:val="007C3E89"/>
    <w:rsid w:val="007C7D98"/>
    <w:rsid w:val="007D0CFC"/>
    <w:rsid w:val="007E50DD"/>
    <w:rsid w:val="007E55C9"/>
    <w:rsid w:val="007F4819"/>
    <w:rsid w:val="00800EF7"/>
    <w:rsid w:val="00801ED4"/>
    <w:rsid w:val="00811F9D"/>
    <w:rsid w:val="00813E15"/>
    <w:rsid w:val="00815417"/>
    <w:rsid w:val="008168C5"/>
    <w:rsid w:val="00820B21"/>
    <w:rsid w:val="00824B2F"/>
    <w:rsid w:val="00833636"/>
    <w:rsid w:val="00846C02"/>
    <w:rsid w:val="00851298"/>
    <w:rsid w:val="00851B81"/>
    <w:rsid w:val="0085242C"/>
    <w:rsid w:val="00875339"/>
    <w:rsid w:val="00880204"/>
    <w:rsid w:val="00880A8A"/>
    <w:rsid w:val="008832D9"/>
    <w:rsid w:val="008859AB"/>
    <w:rsid w:val="008940A5"/>
    <w:rsid w:val="00895FBC"/>
    <w:rsid w:val="008A0D63"/>
    <w:rsid w:val="008B1298"/>
    <w:rsid w:val="008B1665"/>
    <w:rsid w:val="008B501E"/>
    <w:rsid w:val="008C08D0"/>
    <w:rsid w:val="008C1A54"/>
    <w:rsid w:val="008C3F03"/>
    <w:rsid w:val="008C72A7"/>
    <w:rsid w:val="008D3667"/>
    <w:rsid w:val="008E25DD"/>
    <w:rsid w:val="008E35A4"/>
    <w:rsid w:val="008E7CF5"/>
    <w:rsid w:val="008F02B0"/>
    <w:rsid w:val="008F057A"/>
    <w:rsid w:val="008F3866"/>
    <w:rsid w:val="008F4901"/>
    <w:rsid w:val="00921736"/>
    <w:rsid w:val="00921C3E"/>
    <w:rsid w:val="00923FC6"/>
    <w:rsid w:val="00925D6D"/>
    <w:rsid w:val="00931729"/>
    <w:rsid w:val="0093198B"/>
    <w:rsid w:val="0093780E"/>
    <w:rsid w:val="00937C53"/>
    <w:rsid w:val="00942464"/>
    <w:rsid w:val="0094749D"/>
    <w:rsid w:val="00950C94"/>
    <w:rsid w:val="0095187C"/>
    <w:rsid w:val="00952D36"/>
    <w:rsid w:val="00963ACB"/>
    <w:rsid w:val="00964DCC"/>
    <w:rsid w:val="00975A98"/>
    <w:rsid w:val="0098034E"/>
    <w:rsid w:val="00983DF0"/>
    <w:rsid w:val="00985457"/>
    <w:rsid w:val="009858A4"/>
    <w:rsid w:val="009940EF"/>
    <w:rsid w:val="00995B57"/>
    <w:rsid w:val="009A114B"/>
    <w:rsid w:val="009A14C7"/>
    <w:rsid w:val="009B1B08"/>
    <w:rsid w:val="009B474D"/>
    <w:rsid w:val="009C1109"/>
    <w:rsid w:val="009C5E77"/>
    <w:rsid w:val="009D1AF4"/>
    <w:rsid w:val="009D2089"/>
    <w:rsid w:val="009D546E"/>
    <w:rsid w:val="009D5A6A"/>
    <w:rsid w:val="009E00BA"/>
    <w:rsid w:val="009E1876"/>
    <w:rsid w:val="009E44B4"/>
    <w:rsid w:val="009E667D"/>
    <w:rsid w:val="009F0518"/>
    <w:rsid w:val="009F17FB"/>
    <w:rsid w:val="009F402A"/>
    <w:rsid w:val="009F460E"/>
    <w:rsid w:val="009F4CBD"/>
    <w:rsid w:val="009F4D55"/>
    <w:rsid w:val="009F53F4"/>
    <w:rsid w:val="009F6476"/>
    <w:rsid w:val="00A04E95"/>
    <w:rsid w:val="00A12701"/>
    <w:rsid w:val="00A17943"/>
    <w:rsid w:val="00A222B1"/>
    <w:rsid w:val="00A247B1"/>
    <w:rsid w:val="00A3362C"/>
    <w:rsid w:val="00A33692"/>
    <w:rsid w:val="00A37CDC"/>
    <w:rsid w:val="00A423E7"/>
    <w:rsid w:val="00A439B9"/>
    <w:rsid w:val="00A514C8"/>
    <w:rsid w:val="00A55FC4"/>
    <w:rsid w:val="00A57AB3"/>
    <w:rsid w:val="00A65B43"/>
    <w:rsid w:val="00A76102"/>
    <w:rsid w:val="00A767E3"/>
    <w:rsid w:val="00A7704B"/>
    <w:rsid w:val="00A812AF"/>
    <w:rsid w:val="00A866D2"/>
    <w:rsid w:val="00A90D85"/>
    <w:rsid w:val="00A93F8D"/>
    <w:rsid w:val="00A956ED"/>
    <w:rsid w:val="00A97857"/>
    <w:rsid w:val="00A97BCA"/>
    <w:rsid w:val="00AA072D"/>
    <w:rsid w:val="00AA0ED3"/>
    <w:rsid w:val="00AA678F"/>
    <w:rsid w:val="00AA74D1"/>
    <w:rsid w:val="00AB5C85"/>
    <w:rsid w:val="00AC309E"/>
    <w:rsid w:val="00AC42B5"/>
    <w:rsid w:val="00AC6A21"/>
    <w:rsid w:val="00AD2C73"/>
    <w:rsid w:val="00AD5113"/>
    <w:rsid w:val="00AD7E55"/>
    <w:rsid w:val="00AE437C"/>
    <w:rsid w:val="00AE52B4"/>
    <w:rsid w:val="00AF1E89"/>
    <w:rsid w:val="00AF38F4"/>
    <w:rsid w:val="00AF4833"/>
    <w:rsid w:val="00AF6458"/>
    <w:rsid w:val="00B13E26"/>
    <w:rsid w:val="00B14F50"/>
    <w:rsid w:val="00B14FBE"/>
    <w:rsid w:val="00B21C47"/>
    <w:rsid w:val="00B3022A"/>
    <w:rsid w:val="00B40A39"/>
    <w:rsid w:val="00B41C5F"/>
    <w:rsid w:val="00B43DDC"/>
    <w:rsid w:val="00B43F73"/>
    <w:rsid w:val="00B46C6B"/>
    <w:rsid w:val="00B50EC0"/>
    <w:rsid w:val="00B52821"/>
    <w:rsid w:val="00B640C8"/>
    <w:rsid w:val="00B712BB"/>
    <w:rsid w:val="00B8149A"/>
    <w:rsid w:val="00B8528B"/>
    <w:rsid w:val="00B928FD"/>
    <w:rsid w:val="00B92E9F"/>
    <w:rsid w:val="00B97C6E"/>
    <w:rsid w:val="00BA7FA3"/>
    <w:rsid w:val="00BB18A0"/>
    <w:rsid w:val="00BB1FD8"/>
    <w:rsid w:val="00BB2148"/>
    <w:rsid w:val="00BB232E"/>
    <w:rsid w:val="00BB5E3D"/>
    <w:rsid w:val="00BB736A"/>
    <w:rsid w:val="00BD329D"/>
    <w:rsid w:val="00BD37B5"/>
    <w:rsid w:val="00BF040D"/>
    <w:rsid w:val="00BF304C"/>
    <w:rsid w:val="00BF5652"/>
    <w:rsid w:val="00BF5F8A"/>
    <w:rsid w:val="00BF6A19"/>
    <w:rsid w:val="00BF71DF"/>
    <w:rsid w:val="00C02511"/>
    <w:rsid w:val="00C02A69"/>
    <w:rsid w:val="00C02CA7"/>
    <w:rsid w:val="00C10A77"/>
    <w:rsid w:val="00C11BBE"/>
    <w:rsid w:val="00C225E0"/>
    <w:rsid w:val="00C24A5E"/>
    <w:rsid w:val="00C35D88"/>
    <w:rsid w:val="00C47EE1"/>
    <w:rsid w:val="00C50E07"/>
    <w:rsid w:val="00C623CB"/>
    <w:rsid w:val="00C7415E"/>
    <w:rsid w:val="00C758AF"/>
    <w:rsid w:val="00C75935"/>
    <w:rsid w:val="00C7783C"/>
    <w:rsid w:val="00C83C38"/>
    <w:rsid w:val="00C87F25"/>
    <w:rsid w:val="00C922BD"/>
    <w:rsid w:val="00C9559B"/>
    <w:rsid w:val="00C96A46"/>
    <w:rsid w:val="00CA08CC"/>
    <w:rsid w:val="00CA337D"/>
    <w:rsid w:val="00CA5A2F"/>
    <w:rsid w:val="00CC2038"/>
    <w:rsid w:val="00CC48E0"/>
    <w:rsid w:val="00CC4B75"/>
    <w:rsid w:val="00CD381B"/>
    <w:rsid w:val="00CE36AD"/>
    <w:rsid w:val="00D07EE1"/>
    <w:rsid w:val="00D12C54"/>
    <w:rsid w:val="00D13AFD"/>
    <w:rsid w:val="00D21467"/>
    <w:rsid w:val="00D26CD3"/>
    <w:rsid w:val="00D2795F"/>
    <w:rsid w:val="00D31750"/>
    <w:rsid w:val="00D3388D"/>
    <w:rsid w:val="00D34C9F"/>
    <w:rsid w:val="00D34FC1"/>
    <w:rsid w:val="00D35190"/>
    <w:rsid w:val="00D42168"/>
    <w:rsid w:val="00D4454A"/>
    <w:rsid w:val="00D46556"/>
    <w:rsid w:val="00D46558"/>
    <w:rsid w:val="00D46887"/>
    <w:rsid w:val="00D47098"/>
    <w:rsid w:val="00D503E4"/>
    <w:rsid w:val="00D54129"/>
    <w:rsid w:val="00D6225D"/>
    <w:rsid w:val="00D62613"/>
    <w:rsid w:val="00D856B5"/>
    <w:rsid w:val="00D92F76"/>
    <w:rsid w:val="00D94122"/>
    <w:rsid w:val="00D945EF"/>
    <w:rsid w:val="00D9776B"/>
    <w:rsid w:val="00DA2D56"/>
    <w:rsid w:val="00DA7754"/>
    <w:rsid w:val="00DB2B70"/>
    <w:rsid w:val="00DB49CA"/>
    <w:rsid w:val="00DB598E"/>
    <w:rsid w:val="00DC1326"/>
    <w:rsid w:val="00DC1DBD"/>
    <w:rsid w:val="00DC5051"/>
    <w:rsid w:val="00DF036F"/>
    <w:rsid w:val="00DF1F3C"/>
    <w:rsid w:val="00DF3D24"/>
    <w:rsid w:val="00E003DB"/>
    <w:rsid w:val="00E04998"/>
    <w:rsid w:val="00E1388A"/>
    <w:rsid w:val="00E17A80"/>
    <w:rsid w:val="00E207AE"/>
    <w:rsid w:val="00E300DC"/>
    <w:rsid w:val="00E34D2F"/>
    <w:rsid w:val="00E43904"/>
    <w:rsid w:val="00E47E48"/>
    <w:rsid w:val="00E50702"/>
    <w:rsid w:val="00E5555A"/>
    <w:rsid w:val="00E575D4"/>
    <w:rsid w:val="00E615A8"/>
    <w:rsid w:val="00E629C1"/>
    <w:rsid w:val="00E72990"/>
    <w:rsid w:val="00E7314C"/>
    <w:rsid w:val="00E77029"/>
    <w:rsid w:val="00E8004D"/>
    <w:rsid w:val="00E80DB1"/>
    <w:rsid w:val="00E81431"/>
    <w:rsid w:val="00E8413E"/>
    <w:rsid w:val="00E85EAA"/>
    <w:rsid w:val="00E91E89"/>
    <w:rsid w:val="00EA41C1"/>
    <w:rsid w:val="00EB3E67"/>
    <w:rsid w:val="00EB7B1D"/>
    <w:rsid w:val="00EC64FA"/>
    <w:rsid w:val="00EC7433"/>
    <w:rsid w:val="00EE5D77"/>
    <w:rsid w:val="00EF1D82"/>
    <w:rsid w:val="00EF2F66"/>
    <w:rsid w:val="00EF6ECA"/>
    <w:rsid w:val="00F01870"/>
    <w:rsid w:val="00F03066"/>
    <w:rsid w:val="00F043A6"/>
    <w:rsid w:val="00F07D11"/>
    <w:rsid w:val="00F10DC2"/>
    <w:rsid w:val="00F14B64"/>
    <w:rsid w:val="00F200C5"/>
    <w:rsid w:val="00F31C98"/>
    <w:rsid w:val="00F32B7D"/>
    <w:rsid w:val="00F33B56"/>
    <w:rsid w:val="00F345AE"/>
    <w:rsid w:val="00F41B40"/>
    <w:rsid w:val="00F43AF9"/>
    <w:rsid w:val="00F47AD2"/>
    <w:rsid w:val="00F54254"/>
    <w:rsid w:val="00F56E9B"/>
    <w:rsid w:val="00F658B7"/>
    <w:rsid w:val="00F70394"/>
    <w:rsid w:val="00F71DE4"/>
    <w:rsid w:val="00F741B4"/>
    <w:rsid w:val="00F8326F"/>
    <w:rsid w:val="00F84300"/>
    <w:rsid w:val="00F85937"/>
    <w:rsid w:val="00F915B2"/>
    <w:rsid w:val="00F91F39"/>
    <w:rsid w:val="00F9237D"/>
    <w:rsid w:val="00F9558E"/>
    <w:rsid w:val="00FA01D0"/>
    <w:rsid w:val="00FA2AC8"/>
    <w:rsid w:val="00FA2CD3"/>
    <w:rsid w:val="00FA2D38"/>
    <w:rsid w:val="00FB6E6B"/>
    <w:rsid w:val="00FB7EB0"/>
    <w:rsid w:val="00FB7FC2"/>
    <w:rsid w:val="00FC04AA"/>
    <w:rsid w:val="00FC0C3B"/>
    <w:rsid w:val="00FC40EF"/>
    <w:rsid w:val="00FC53C5"/>
    <w:rsid w:val="00FC7898"/>
    <w:rsid w:val="00FD0F7A"/>
    <w:rsid w:val="00FD2C0B"/>
    <w:rsid w:val="00FD7BC4"/>
    <w:rsid w:val="00FE3976"/>
    <w:rsid w:val="00FF064B"/>
    <w:rsid w:val="00FF47B7"/>
    <w:rsid w:val="00FF5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paragraph" w:styleId="NormalWeb">
    <w:name w:val="Normal (Web)"/>
    <w:basedOn w:val="Normal"/>
    <w:uiPriority w:val="99"/>
    <w:unhideWhenUsed/>
    <w:rsid w:val="00413FE3"/>
    <w:pPr>
      <w:widowControl/>
      <w:spacing w:before="100" w:beforeAutospacing="1" w:after="100" w:afterAutospacing="1"/>
      <w:jc w:val="left"/>
    </w:pPr>
    <w:rPr>
      <w:rFonts w:ascii="MS PGothic" w:eastAsia="MS PGothic" w:hAnsi="MS PGothic" w:cs="MS PGothic"/>
      <w:kern w:val="0"/>
      <w:szCs w:val="24"/>
    </w:rPr>
  </w:style>
  <w:style w:type="paragraph" w:styleId="HTMLPreformatted">
    <w:name w:val="HTML Preformatted"/>
    <w:basedOn w:val="Normal"/>
    <w:link w:val="HTMLPreformattedChar"/>
    <w:uiPriority w:val="99"/>
    <w:semiHidden/>
    <w:unhideWhenUsed/>
    <w:rsid w:val="00A90D8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90D85"/>
    <w:rPr>
      <w:rFonts w:ascii="Courier New" w:hAnsi="Courier New" w:cs="Courier New"/>
      <w:sz w:val="20"/>
      <w:szCs w:val="20"/>
    </w:rPr>
  </w:style>
  <w:style w:type="paragraph" w:styleId="Revision">
    <w:name w:val="Revision"/>
    <w:hidden/>
    <w:uiPriority w:val="99"/>
    <w:semiHidden/>
    <w:rsid w:val="000F73E2"/>
    <w:rPr>
      <w:rFonts w:ascii="Times New Roman" w:hAnsi="Times New Roman"/>
      <w:sz w:val="24"/>
    </w:rPr>
  </w:style>
  <w:style w:type="character" w:styleId="CommentReference">
    <w:name w:val="annotation reference"/>
    <w:basedOn w:val="DefaultParagraphFont"/>
    <w:uiPriority w:val="99"/>
    <w:semiHidden/>
    <w:unhideWhenUsed/>
    <w:rsid w:val="004D0111"/>
    <w:rPr>
      <w:sz w:val="16"/>
      <w:szCs w:val="16"/>
    </w:rPr>
  </w:style>
  <w:style w:type="paragraph" w:styleId="CommentText">
    <w:name w:val="annotation text"/>
    <w:basedOn w:val="Normal"/>
    <w:link w:val="CommentTextChar"/>
    <w:uiPriority w:val="99"/>
    <w:unhideWhenUsed/>
    <w:rsid w:val="004D0111"/>
    <w:rPr>
      <w:sz w:val="20"/>
      <w:szCs w:val="20"/>
    </w:rPr>
  </w:style>
  <w:style w:type="character" w:customStyle="1" w:styleId="CommentTextChar">
    <w:name w:val="Comment Text Char"/>
    <w:basedOn w:val="DefaultParagraphFont"/>
    <w:link w:val="CommentText"/>
    <w:uiPriority w:val="99"/>
    <w:rsid w:val="004D01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D0111"/>
    <w:rPr>
      <w:b/>
      <w:bCs/>
    </w:rPr>
  </w:style>
  <w:style w:type="character" w:customStyle="1" w:styleId="CommentSubjectChar">
    <w:name w:val="Comment Subject Char"/>
    <w:basedOn w:val="CommentTextChar"/>
    <w:link w:val="CommentSubject"/>
    <w:uiPriority w:val="99"/>
    <w:semiHidden/>
    <w:rsid w:val="004D011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1406">
      <w:bodyDiv w:val="1"/>
      <w:marLeft w:val="0"/>
      <w:marRight w:val="0"/>
      <w:marTop w:val="0"/>
      <w:marBottom w:val="0"/>
      <w:divBdr>
        <w:top w:val="none" w:sz="0" w:space="0" w:color="auto"/>
        <w:left w:val="none" w:sz="0" w:space="0" w:color="auto"/>
        <w:bottom w:val="none" w:sz="0" w:space="0" w:color="auto"/>
        <w:right w:val="none" w:sz="0" w:space="0" w:color="auto"/>
      </w:divBdr>
    </w:div>
    <w:div w:id="340011272">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03902">
      <w:bodyDiv w:val="1"/>
      <w:marLeft w:val="0"/>
      <w:marRight w:val="0"/>
      <w:marTop w:val="0"/>
      <w:marBottom w:val="0"/>
      <w:divBdr>
        <w:top w:val="none" w:sz="0" w:space="0" w:color="auto"/>
        <w:left w:val="none" w:sz="0" w:space="0" w:color="auto"/>
        <w:bottom w:val="none" w:sz="0" w:space="0" w:color="auto"/>
        <w:right w:val="none" w:sz="0" w:space="0" w:color="auto"/>
      </w:divBdr>
    </w:div>
    <w:div w:id="875895790">
      <w:bodyDiv w:val="1"/>
      <w:marLeft w:val="0"/>
      <w:marRight w:val="0"/>
      <w:marTop w:val="0"/>
      <w:marBottom w:val="0"/>
      <w:divBdr>
        <w:top w:val="none" w:sz="0" w:space="0" w:color="auto"/>
        <w:left w:val="none" w:sz="0" w:space="0" w:color="auto"/>
        <w:bottom w:val="none" w:sz="0" w:space="0" w:color="auto"/>
        <w:right w:val="none" w:sz="0" w:space="0" w:color="auto"/>
      </w:divBdr>
    </w:div>
    <w:div w:id="892816075">
      <w:bodyDiv w:val="1"/>
      <w:marLeft w:val="0"/>
      <w:marRight w:val="0"/>
      <w:marTop w:val="0"/>
      <w:marBottom w:val="0"/>
      <w:divBdr>
        <w:top w:val="none" w:sz="0" w:space="0" w:color="auto"/>
        <w:left w:val="none" w:sz="0" w:space="0" w:color="auto"/>
        <w:bottom w:val="none" w:sz="0" w:space="0" w:color="auto"/>
        <w:right w:val="none" w:sz="0" w:space="0" w:color="auto"/>
      </w:divBdr>
    </w:div>
    <w:div w:id="918444090">
      <w:bodyDiv w:val="1"/>
      <w:marLeft w:val="0"/>
      <w:marRight w:val="0"/>
      <w:marTop w:val="0"/>
      <w:marBottom w:val="0"/>
      <w:divBdr>
        <w:top w:val="none" w:sz="0" w:space="0" w:color="auto"/>
        <w:left w:val="none" w:sz="0" w:space="0" w:color="auto"/>
        <w:bottom w:val="none" w:sz="0" w:space="0" w:color="auto"/>
        <w:right w:val="none" w:sz="0" w:space="0" w:color="auto"/>
      </w:divBdr>
    </w:div>
    <w:div w:id="955673990">
      <w:bodyDiv w:val="1"/>
      <w:marLeft w:val="0"/>
      <w:marRight w:val="0"/>
      <w:marTop w:val="0"/>
      <w:marBottom w:val="0"/>
      <w:divBdr>
        <w:top w:val="none" w:sz="0" w:space="0" w:color="auto"/>
        <w:left w:val="none" w:sz="0" w:space="0" w:color="auto"/>
        <w:bottom w:val="none" w:sz="0" w:space="0" w:color="auto"/>
        <w:right w:val="none" w:sz="0" w:space="0" w:color="auto"/>
      </w:divBdr>
    </w:div>
    <w:div w:id="1451240137">
      <w:bodyDiv w:val="1"/>
      <w:marLeft w:val="0"/>
      <w:marRight w:val="0"/>
      <w:marTop w:val="0"/>
      <w:marBottom w:val="0"/>
      <w:divBdr>
        <w:top w:val="none" w:sz="0" w:space="0" w:color="auto"/>
        <w:left w:val="none" w:sz="0" w:space="0" w:color="auto"/>
        <w:bottom w:val="none" w:sz="0" w:space="0" w:color="auto"/>
        <w:right w:val="none" w:sz="0" w:space="0" w:color="auto"/>
      </w:divBdr>
    </w:div>
    <w:div w:id="1564415305">
      <w:bodyDiv w:val="1"/>
      <w:marLeft w:val="0"/>
      <w:marRight w:val="0"/>
      <w:marTop w:val="0"/>
      <w:marBottom w:val="0"/>
      <w:divBdr>
        <w:top w:val="none" w:sz="0" w:space="0" w:color="auto"/>
        <w:left w:val="none" w:sz="0" w:space="0" w:color="auto"/>
        <w:bottom w:val="none" w:sz="0" w:space="0" w:color="auto"/>
        <w:right w:val="none" w:sz="0" w:space="0" w:color="auto"/>
      </w:divBdr>
    </w:div>
    <w:div w:id="21147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an.r-project.org/doc/Rnews/" TargetMode="External"/><Relationship Id="rId4" Type="http://schemas.openxmlformats.org/officeDocument/2006/relationships/settings" Target="settings.xml"/><Relationship Id="rId9" Type="http://schemas.openxmlformats.org/officeDocument/2006/relationships/hyperlink" Target="http://www.npfc.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1525</Words>
  <Characters>8699</Characters>
  <Application>Microsoft Office Word</Application>
  <DocSecurity>0</DocSecurity>
  <Lines>72</Lines>
  <Paragraphs>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7</cp:revision>
  <cp:lastPrinted>2017-09-04T06:52:00Z</cp:lastPrinted>
  <dcterms:created xsi:type="dcterms:W3CDTF">2024-11-07T01:32:00Z</dcterms:created>
  <dcterms:modified xsi:type="dcterms:W3CDTF">2024-11-10T03:45:00Z</dcterms:modified>
</cp:coreProperties>
</file>