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E6A97" w14:textId="7BE211DA" w:rsidR="00E8004D" w:rsidRPr="00EE6890" w:rsidRDefault="00E91E89" w:rsidP="00D50337">
      <w:pPr>
        <w:wordWrap w:val="0"/>
        <w:spacing w:before="240"/>
        <w:jc w:val="right"/>
        <w:rPr>
          <w:rFonts w:cs="Times New Roman"/>
          <w:sz w:val="21"/>
          <w:szCs w:val="21"/>
        </w:rPr>
      </w:pPr>
      <w:r w:rsidRPr="00EE6890">
        <w:rPr>
          <w:rFonts w:cs="Times New Roman"/>
          <w:sz w:val="21"/>
          <w:szCs w:val="21"/>
        </w:rPr>
        <w:t>NPFC-</w:t>
      </w:r>
      <w:r w:rsidR="005B1253" w:rsidRPr="00EE6890">
        <w:rPr>
          <w:rFonts w:cs="Times New Roman"/>
          <w:sz w:val="21"/>
          <w:szCs w:val="21"/>
        </w:rPr>
        <w:t>202</w:t>
      </w:r>
      <w:r w:rsidR="006506EC" w:rsidRPr="00EE6890">
        <w:rPr>
          <w:rFonts w:cs="Times New Roman"/>
          <w:sz w:val="21"/>
          <w:szCs w:val="21"/>
        </w:rPr>
        <w:t>4</w:t>
      </w:r>
      <w:r w:rsidRPr="00EE6890">
        <w:rPr>
          <w:rFonts w:cs="Times New Roman"/>
          <w:sz w:val="21"/>
          <w:szCs w:val="21"/>
        </w:rPr>
        <w:t>-</w:t>
      </w:r>
      <w:r w:rsidR="005B1253" w:rsidRPr="00EE6890">
        <w:rPr>
          <w:rFonts w:cs="Times New Roman"/>
          <w:sz w:val="21"/>
          <w:szCs w:val="21"/>
        </w:rPr>
        <w:t>SSC BFME0</w:t>
      </w:r>
      <w:r w:rsidR="006506EC" w:rsidRPr="00EE6890">
        <w:rPr>
          <w:rFonts w:cs="Times New Roman"/>
          <w:sz w:val="21"/>
          <w:szCs w:val="21"/>
        </w:rPr>
        <w:t>5</w:t>
      </w:r>
      <w:r w:rsidRPr="00EE6890">
        <w:rPr>
          <w:rFonts w:cs="Times New Roman"/>
          <w:sz w:val="21"/>
          <w:szCs w:val="21"/>
        </w:rPr>
        <w:t>-WP</w:t>
      </w:r>
      <w:r w:rsidR="00C70F6D">
        <w:rPr>
          <w:rFonts w:cs="Times New Roman"/>
          <w:sz w:val="21"/>
          <w:szCs w:val="21"/>
        </w:rPr>
        <w:t>17</w:t>
      </w:r>
    </w:p>
    <w:p w14:paraId="6DABEBC2" w14:textId="343FE61F" w:rsidR="00FD2C0B" w:rsidRPr="00EE6890" w:rsidRDefault="00FD2C0B" w:rsidP="00B14F50">
      <w:pPr>
        <w:rPr>
          <w:rFonts w:cs="Times New Roman"/>
          <w:sz w:val="21"/>
          <w:szCs w:val="21"/>
        </w:rPr>
      </w:pPr>
    </w:p>
    <w:p w14:paraId="5CF1A8AA" w14:textId="77777777" w:rsidR="0032691E" w:rsidRPr="00EE6890" w:rsidRDefault="0032691E" w:rsidP="0032691E">
      <w:pPr>
        <w:pBdr>
          <w:bottom w:val="single" w:sz="12" w:space="1" w:color="auto"/>
        </w:pBdr>
        <w:rPr>
          <w:rFonts w:cs="Times New Roman"/>
          <w:sz w:val="21"/>
          <w:szCs w:val="21"/>
        </w:rPr>
      </w:pPr>
    </w:p>
    <w:p w14:paraId="3DE06AF5" w14:textId="77777777" w:rsidR="0032691E" w:rsidRPr="00EE6890" w:rsidRDefault="0032691E" w:rsidP="0032691E">
      <w:pPr>
        <w:pBdr>
          <w:bottom w:val="single" w:sz="12" w:space="1" w:color="auto"/>
        </w:pBdr>
        <w:rPr>
          <w:rFonts w:cs="Times New Roman"/>
          <w:sz w:val="21"/>
          <w:szCs w:val="21"/>
        </w:rPr>
      </w:pPr>
    </w:p>
    <w:p w14:paraId="657413BD" w14:textId="77777777" w:rsidR="0032691E" w:rsidRPr="00EE6890" w:rsidRDefault="0032691E" w:rsidP="0032691E">
      <w:pPr>
        <w:pBdr>
          <w:bottom w:val="single" w:sz="12" w:space="1" w:color="auto"/>
        </w:pBdr>
        <w:rPr>
          <w:rFonts w:cs="Times New Roman"/>
          <w:sz w:val="21"/>
          <w:szCs w:val="21"/>
        </w:rPr>
      </w:pPr>
    </w:p>
    <w:p w14:paraId="31263897" w14:textId="77777777" w:rsidR="0032691E" w:rsidRPr="00EE6890" w:rsidRDefault="0032691E" w:rsidP="0032691E">
      <w:pPr>
        <w:pBdr>
          <w:bottom w:val="single" w:sz="12" w:space="1" w:color="auto"/>
        </w:pBdr>
        <w:rPr>
          <w:rFonts w:cs="Times New Roman"/>
          <w:sz w:val="21"/>
          <w:szCs w:val="21"/>
        </w:rPr>
      </w:pPr>
    </w:p>
    <w:p w14:paraId="2255C728" w14:textId="77777777" w:rsidR="0032691E" w:rsidRPr="00EE6890" w:rsidRDefault="0032691E" w:rsidP="0032691E">
      <w:pPr>
        <w:pBdr>
          <w:bottom w:val="single" w:sz="12" w:space="1" w:color="auto"/>
        </w:pBdr>
        <w:rPr>
          <w:rFonts w:cs="Times New Roman"/>
          <w:sz w:val="21"/>
          <w:szCs w:val="21"/>
        </w:rPr>
      </w:pPr>
    </w:p>
    <w:p w14:paraId="4FC61C40" w14:textId="77777777" w:rsidR="0032691E" w:rsidRPr="00EE6890" w:rsidRDefault="0032691E" w:rsidP="0032691E">
      <w:pPr>
        <w:pBdr>
          <w:bottom w:val="single" w:sz="12" w:space="1" w:color="auto"/>
        </w:pBdr>
        <w:rPr>
          <w:rFonts w:cs="Times New Roman"/>
          <w:sz w:val="21"/>
          <w:szCs w:val="21"/>
        </w:rPr>
      </w:pPr>
    </w:p>
    <w:p w14:paraId="7E36B177" w14:textId="77777777" w:rsidR="0032691E" w:rsidRPr="00EE6890" w:rsidRDefault="0032691E" w:rsidP="0032691E">
      <w:pPr>
        <w:pBdr>
          <w:bottom w:val="single" w:sz="12" w:space="1" w:color="auto"/>
        </w:pBdr>
        <w:rPr>
          <w:rFonts w:cs="Times New Roman"/>
          <w:sz w:val="21"/>
          <w:szCs w:val="21"/>
        </w:rPr>
      </w:pPr>
    </w:p>
    <w:p w14:paraId="134329DB" w14:textId="0652CFB5" w:rsidR="0032691E" w:rsidRPr="00EE6890" w:rsidRDefault="0032691E" w:rsidP="0032691E">
      <w:pPr>
        <w:pBdr>
          <w:bottom w:val="single" w:sz="12" w:space="1" w:color="auto"/>
        </w:pBdr>
        <w:jc w:val="center"/>
        <w:rPr>
          <w:rFonts w:cs="Times New Roman"/>
          <w:sz w:val="28"/>
          <w:szCs w:val="28"/>
        </w:rPr>
      </w:pPr>
      <w:r w:rsidRPr="00EE6890">
        <w:rPr>
          <w:rFonts w:cs="Times New Roman"/>
          <w:sz w:val="28"/>
          <w:szCs w:val="28"/>
        </w:rPr>
        <w:t>Small Working Group on NPA and SA - Summary for 202</w:t>
      </w:r>
      <w:r w:rsidR="006506EC" w:rsidRPr="00EE6890">
        <w:rPr>
          <w:rFonts w:cs="Times New Roman"/>
          <w:sz w:val="28"/>
          <w:szCs w:val="28"/>
        </w:rPr>
        <w:t>4</w:t>
      </w:r>
    </w:p>
    <w:p w14:paraId="12A96159" w14:textId="77777777" w:rsidR="0032691E" w:rsidRPr="00EE6890" w:rsidRDefault="0032691E" w:rsidP="0032691E">
      <w:pPr>
        <w:pBdr>
          <w:bottom w:val="single" w:sz="12" w:space="1" w:color="auto"/>
        </w:pBdr>
        <w:jc w:val="center"/>
        <w:rPr>
          <w:rFonts w:cs="Times New Roman"/>
          <w:sz w:val="21"/>
          <w:szCs w:val="21"/>
        </w:rPr>
      </w:pPr>
    </w:p>
    <w:p w14:paraId="07083BF2" w14:textId="77777777" w:rsidR="0032691E" w:rsidRPr="00EE6890" w:rsidRDefault="0032691E" w:rsidP="0032691E">
      <w:pPr>
        <w:pBdr>
          <w:bottom w:val="single" w:sz="12" w:space="1" w:color="auto"/>
        </w:pBdr>
        <w:jc w:val="center"/>
        <w:rPr>
          <w:rFonts w:cs="Times New Roman"/>
          <w:sz w:val="21"/>
          <w:szCs w:val="21"/>
        </w:rPr>
      </w:pPr>
    </w:p>
    <w:p w14:paraId="61F0779F" w14:textId="77777777" w:rsidR="0032691E" w:rsidRPr="00EE6890" w:rsidRDefault="0032691E" w:rsidP="0032691E">
      <w:pPr>
        <w:pBdr>
          <w:bottom w:val="single" w:sz="12" w:space="1" w:color="auto"/>
        </w:pBdr>
        <w:jc w:val="center"/>
        <w:rPr>
          <w:rFonts w:cs="Times New Roman"/>
          <w:szCs w:val="24"/>
        </w:rPr>
      </w:pPr>
      <w:r w:rsidRPr="00EE6890">
        <w:rPr>
          <w:rFonts w:cs="Times New Roman"/>
          <w:szCs w:val="24"/>
        </w:rPr>
        <w:t>by</w:t>
      </w:r>
    </w:p>
    <w:p w14:paraId="6129FE41" w14:textId="273A2232" w:rsidR="0032691E" w:rsidRPr="00EE6890" w:rsidRDefault="0032691E" w:rsidP="0032691E">
      <w:pPr>
        <w:pBdr>
          <w:bottom w:val="single" w:sz="12" w:space="1" w:color="auto"/>
        </w:pBdr>
        <w:jc w:val="center"/>
        <w:rPr>
          <w:rFonts w:cs="Times New Roman"/>
          <w:szCs w:val="24"/>
        </w:rPr>
      </w:pPr>
      <w:bookmarkStart w:id="0" w:name="_Hlk86948020"/>
      <w:r w:rsidRPr="00EE6890">
        <w:rPr>
          <w:rFonts w:cs="Times New Roman"/>
          <w:szCs w:val="24"/>
        </w:rPr>
        <w:t>Kota Sawada (Lead of the SWG NPA-SA)</w:t>
      </w:r>
    </w:p>
    <w:bookmarkEnd w:id="0"/>
    <w:p w14:paraId="230BE83E" w14:textId="77777777" w:rsidR="0032691E" w:rsidRPr="00EE6890" w:rsidRDefault="0032691E" w:rsidP="0032691E">
      <w:pPr>
        <w:pBdr>
          <w:bottom w:val="single" w:sz="12" w:space="1" w:color="auto"/>
        </w:pBdr>
        <w:jc w:val="center"/>
        <w:rPr>
          <w:rFonts w:cs="Times New Roman"/>
          <w:szCs w:val="24"/>
        </w:rPr>
      </w:pPr>
    </w:p>
    <w:p w14:paraId="1AD96A31" w14:textId="5AC6DD3B" w:rsidR="0032691E" w:rsidRPr="00EE6890" w:rsidRDefault="0032691E" w:rsidP="0032691E">
      <w:pPr>
        <w:pBdr>
          <w:bottom w:val="single" w:sz="12" w:space="1" w:color="auto"/>
        </w:pBdr>
        <w:jc w:val="center"/>
        <w:rPr>
          <w:rFonts w:cs="Times New Roman"/>
          <w:szCs w:val="24"/>
        </w:rPr>
      </w:pPr>
      <w:r w:rsidRPr="00EE6890">
        <w:rPr>
          <w:rFonts w:cs="Times New Roman"/>
          <w:szCs w:val="24"/>
        </w:rPr>
        <w:t>Oceanic Resources Group, Fisheries Resources Institute,</w:t>
      </w:r>
    </w:p>
    <w:p w14:paraId="21CBA136" w14:textId="77777777" w:rsidR="0032691E" w:rsidRPr="00EE6890" w:rsidRDefault="0032691E" w:rsidP="0032691E">
      <w:pPr>
        <w:pBdr>
          <w:bottom w:val="single" w:sz="12" w:space="1" w:color="auto"/>
        </w:pBdr>
        <w:jc w:val="center"/>
        <w:rPr>
          <w:rFonts w:cs="Times New Roman"/>
          <w:szCs w:val="24"/>
        </w:rPr>
      </w:pPr>
      <w:r w:rsidRPr="00EE6890">
        <w:rPr>
          <w:rFonts w:cs="Times New Roman"/>
          <w:szCs w:val="24"/>
        </w:rPr>
        <w:t>Japan Fisheries Research and Education Agency, Japan</w:t>
      </w:r>
    </w:p>
    <w:p w14:paraId="1BF44C11" w14:textId="77777777" w:rsidR="0032691E" w:rsidRPr="00EE6890" w:rsidRDefault="0032691E" w:rsidP="0032691E">
      <w:pPr>
        <w:pBdr>
          <w:bottom w:val="single" w:sz="12" w:space="1" w:color="auto"/>
        </w:pBdr>
        <w:jc w:val="center"/>
        <w:rPr>
          <w:rFonts w:cs="Times New Roman"/>
          <w:sz w:val="21"/>
          <w:szCs w:val="21"/>
        </w:rPr>
      </w:pPr>
    </w:p>
    <w:p w14:paraId="0616EB8A" w14:textId="77777777" w:rsidR="0032691E" w:rsidRPr="00EE6890" w:rsidRDefault="0032691E" w:rsidP="0032691E">
      <w:pPr>
        <w:pBdr>
          <w:bottom w:val="single" w:sz="12" w:space="1" w:color="auto"/>
        </w:pBdr>
        <w:jc w:val="center"/>
        <w:rPr>
          <w:rFonts w:cs="Times New Roman"/>
          <w:sz w:val="21"/>
          <w:szCs w:val="21"/>
        </w:rPr>
      </w:pPr>
    </w:p>
    <w:p w14:paraId="3856CBEC" w14:textId="77777777" w:rsidR="0032691E" w:rsidRPr="00EE6890" w:rsidRDefault="0032691E" w:rsidP="0032691E">
      <w:pPr>
        <w:pBdr>
          <w:bottom w:val="single" w:sz="12" w:space="1" w:color="auto"/>
        </w:pBdr>
        <w:jc w:val="center"/>
        <w:rPr>
          <w:rFonts w:cs="Times New Roman"/>
          <w:sz w:val="21"/>
          <w:szCs w:val="21"/>
        </w:rPr>
      </w:pPr>
    </w:p>
    <w:p w14:paraId="74D9FED0" w14:textId="77777777" w:rsidR="0032691E" w:rsidRPr="00EE6890" w:rsidRDefault="0032691E" w:rsidP="0032691E">
      <w:pPr>
        <w:pBdr>
          <w:bottom w:val="single" w:sz="12" w:space="1" w:color="auto"/>
        </w:pBdr>
        <w:jc w:val="center"/>
        <w:rPr>
          <w:rFonts w:cs="Times New Roman"/>
          <w:sz w:val="21"/>
          <w:szCs w:val="21"/>
        </w:rPr>
      </w:pPr>
    </w:p>
    <w:p w14:paraId="6A1168D9" w14:textId="77777777" w:rsidR="0032691E" w:rsidRPr="00EE6890" w:rsidRDefault="0032691E" w:rsidP="0032691E">
      <w:pPr>
        <w:pBdr>
          <w:bottom w:val="single" w:sz="12" w:space="1" w:color="auto"/>
        </w:pBdr>
        <w:jc w:val="center"/>
        <w:rPr>
          <w:rFonts w:cs="Times New Roman"/>
          <w:sz w:val="21"/>
          <w:szCs w:val="21"/>
        </w:rPr>
      </w:pPr>
    </w:p>
    <w:p w14:paraId="38F02D44" w14:textId="77777777" w:rsidR="0032691E" w:rsidRPr="00EE6890" w:rsidRDefault="0032691E" w:rsidP="0032691E">
      <w:pPr>
        <w:pBdr>
          <w:bottom w:val="single" w:sz="12" w:space="1" w:color="auto"/>
        </w:pBdr>
        <w:jc w:val="center"/>
        <w:rPr>
          <w:rFonts w:cs="Times New Roman"/>
          <w:sz w:val="21"/>
          <w:szCs w:val="21"/>
        </w:rPr>
      </w:pPr>
    </w:p>
    <w:p w14:paraId="71055AC6" w14:textId="77777777" w:rsidR="0032691E" w:rsidRPr="00EE6890" w:rsidRDefault="0032691E" w:rsidP="0032691E">
      <w:pPr>
        <w:pBdr>
          <w:bottom w:val="single" w:sz="12" w:space="1" w:color="auto"/>
        </w:pBdr>
        <w:jc w:val="center"/>
        <w:rPr>
          <w:rFonts w:cs="Times New Roman"/>
          <w:sz w:val="21"/>
          <w:szCs w:val="21"/>
        </w:rPr>
      </w:pPr>
    </w:p>
    <w:p w14:paraId="0E495985" w14:textId="2EFC00E9" w:rsidR="0032691E" w:rsidRPr="00EE6890" w:rsidRDefault="0032691E" w:rsidP="0032691E">
      <w:pPr>
        <w:pBdr>
          <w:bottom w:val="single" w:sz="12" w:space="1" w:color="auto"/>
        </w:pBdr>
        <w:jc w:val="center"/>
        <w:rPr>
          <w:rFonts w:cs="Times New Roman"/>
          <w:sz w:val="21"/>
          <w:szCs w:val="21"/>
        </w:rPr>
      </w:pPr>
    </w:p>
    <w:p w14:paraId="14BBA9F6" w14:textId="7E74087F" w:rsidR="0032691E" w:rsidRPr="00EE6890" w:rsidRDefault="0032691E" w:rsidP="0032691E">
      <w:pPr>
        <w:pBdr>
          <w:bottom w:val="single" w:sz="12" w:space="1" w:color="auto"/>
        </w:pBdr>
        <w:jc w:val="center"/>
        <w:rPr>
          <w:rFonts w:cs="Times New Roman"/>
          <w:sz w:val="21"/>
          <w:szCs w:val="21"/>
        </w:rPr>
      </w:pPr>
    </w:p>
    <w:p w14:paraId="5CC6AB2D" w14:textId="77777777" w:rsidR="0032691E" w:rsidRPr="00EE6890" w:rsidRDefault="0032691E" w:rsidP="0032691E">
      <w:pPr>
        <w:pBdr>
          <w:bottom w:val="single" w:sz="12" w:space="1" w:color="auto"/>
        </w:pBdr>
        <w:jc w:val="center"/>
        <w:rPr>
          <w:rFonts w:cs="Times New Roman"/>
          <w:sz w:val="21"/>
          <w:szCs w:val="21"/>
        </w:rPr>
      </w:pPr>
    </w:p>
    <w:p w14:paraId="2313EEE1" w14:textId="592C5C3B" w:rsidR="0032691E" w:rsidRPr="00EE6890" w:rsidRDefault="0032691E" w:rsidP="0032691E">
      <w:pPr>
        <w:pBdr>
          <w:bottom w:val="single" w:sz="12" w:space="1" w:color="auto"/>
        </w:pBdr>
        <w:jc w:val="center"/>
        <w:rPr>
          <w:rFonts w:cs="Times New Roman"/>
          <w:szCs w:val="24"/>
        </w:rPr>
      </w:pPr>
      <w:r w:rsidRPr="00EE6890">
        <w:rPr>
          <w:rFonts w:cs="Times New Roman"/>
          <w:szCs w:val="24"/>
        </w:rPr>
        <w:t>December 202</w:t>
      </w:r>
      <w:r w:rsidR="00A9194C">
        <w:rPr>
          <w:rFonts w:cs="Times New Roman" w:hint="eastAsia"/>
          <w:szCs w:val="24"/>
        </w:rPr>
        <w:t>4</w:t>
      </w:r>
    </w:p>
    <w:p w14:paraId="4EBFFD89" w14:textId="77777777" w:rsidR="0032691E" w:rsidRPr="00EE6890" w:rsidRDefault="0032691E" w:rsidP="0032691E">
      <w:pPr>
        <w:pBdr>
          <w:bottom w:val="single" w:sz="12" w:space="1" w:color="auto"/>
        </w:pBdr>
        <w:jc w:val="center"/>
        <w:rPr>
          <w:rFonts w:cs="Times New Roman"/>
          <w:sz w:val="21"/>
          <w:szCs w:val="21"/>
        </w:rPr>
      </w:pPr>
    </w:p>
    <w:p w14:paraId="366E5BC5" w14:textId="77777777" w:rsidR="0032691E" w:rsidRPr="00EE6890" w:rsidRDefault="0032691E" w:rsidP="0032691E">
      <w:pPr>
        <w:spacing w:after="120"/>
        <w:rPr>
          <w:rFonts w:cs="Times New Roman"/>
          <w:b/>
          <w:sz w:val="21"/>
          <w:szCs w:val="21"/>
        </w:rPr>
      </w:pPr>
    </w:p>
    <w:p w14:paraId="42C356BA" w14:textId="77777777" w:rsidR="0032691E" w:rsidRPr="00EE6890" w:rsidRDefault="0032691E" w:rsidP="0032691E">
      <w:pPr>
        <w:spacing w:after="120"/>
        <w:rPr>
          <w:rFonts w:cs="Times New Roman"/>
          <w:szCs w:val="24"/>
        </w:rPr>
      </w:pPr>
      <w:r w:rsidRPr="00EE6890">
        <w:rPr>
          <w:rFonts w:cs="Times New Roman"/>
          <w:b/>
          <w:szCs w:val="24"/>
        </w:rPr>
        <w:t>This paper may be cited in the following manner:</w:t>
      </w:r>
    </w:p>
    <w:p w14:paraId="5AE30652" w14:textId="5BD2D06A" w:rsidR="0032691E" w:rsidRPr="00EE6890" w:rsidRDefault="0032691E" w:rsidP="007D0D99">
      <w:pPr>
        <w:jc w:val="left"/>
        <w:rPr>
          <w:rFonts w:cs="Times New Roman"/>
          <w:szCs w:val="24"/>
        </w:rPr>
      </w:pPr>
      <w:r w:rsidRPr="00EE6890">
        <w:rPr>
          <w:rFonts w:cs="Times New Roman"/>
          <w:szCs w:val="24"/>
        </w:rPr>
        <w:t>Sawada, K</w:t>
      </w:r>
      <w:r w:rsidR="007D0D99" w:rsidRPr="00EE6890">
        <w:rPr>
          <w:rFonts w:cs="Times New Roman"/>
          <w:szCs w:val="24"/>
        </w:rPr>
        <w:t>.</w:t>
      </w:r>
      <w:r w:rsidRPr="00EE6890">
        <w:rPr>
          <w:rFonts w:cs="Times New Roman"/>
          <w:szCs w:val="24"/>
        </w:rPr>
        <w:t xml:space="preserve"> 202</w:t>
      </w:r>
      <w:r w:rsidR="006506EC" w:rsidRPr="00EE6890">
        <w:rPr>
          <w:rFonts w:cs="Times New Roman"/>
          <w:szCs w:val="24"/>
        </w:rPr>
        <w:t>4</w:t>
      </w:r>
      <w:r w:rsidRPr="00EE6890">
        <w:rPr>
          <w:rFonts w:cs="Times New Roman"/>
          <w:szCs w:val="24"/>
        </w:rPr>
        <w:t xml:space="preserve">. </w:t>
      </w:r>
      <w:r w:rsidR="000F6730" w:rsidRPr="00EE6890">
        <w:rPr>
          <w:rFonts w:cs="Times New Roman"/>
        </w:rPr>
        <w:t>Working Group on NPA and SA - Summary for 202</w:t>
      </w:r>
      <w:r w:rsidR="006506EC" w:rsidRPr="00EE6890">
        <w:rPr>
          <w:rFonts w:cs="Times New Roman"/>
        </w:rPr>
        <w:t>4</w:t>
      </w:r>
      <w:r w:rsidRPr="00EE6890">
        <w:rPr>
          <w:rFonts w:cs="Times New Roman"/>
          <w:szCs w:val="24"/>
        </w:rPr>
        <w:t>. NPFC-202</w:t>
      </w:r>
      <w:r w:rsidR="006506EC" w:rsidRPr="00EE6890">
        <w:rPr>
          <w:rFonts w:cs="Times New Roman"/>
          <w:szCs w:val="24"/>
        </w:rPr>
        <w:t>4</w:t>
      </w:r>
      <w:r w:rsidRPr="00EE6890">
        <w:rPr>
          <w:rFonts w:cs="Times New Roman"/>
          <w:szCs w:val="24"/>
        </w:rPr>
        <w:t>-SSC BFME0</w:t>
      </w:r>
      <w:r w:rsidR="006506EC" w:rsidRPr="00EE6890">
        <w:rPr>
          <w:rFonts w:cs="Times New Roman"/>
          <w:szCs w:val="24"/>
        </w:rPr>
        <w:t>5</w:t>
      </w:r>
      <w:r w:rsidRPr="00EE6890">
        <w:rPr>
          <w:rFonts w:cs="Times New Roman"/>
          <w:szCs w:val="24"/>
        </w:rPr>
        <w:t>-WP</w:t>
      </w:r>
      <w:r w:rsidR="00C70F6D">
        <w:rPr>
          <w:rFonts w:cs="Times New Roman"/>
          <w:szCs w:val="24"/>
        </w:rPr>
        <w:t>17</w:t>
      </w:r>
      <w:r w:rsidR="00681ADA" w:rsidRPr="00EE6890">
        <w:rPr>
          <w:rFonts w:cs="Times New Roman"/>
          <w:sz w:val="21"/>
          <w:szCs w:val="21"/>
        </w:rPr>
        <w:t>.</w:t>
      </w:r>
      <w:r w:rsidRPr="00EE6890">
        <w:rPr>
          <w:rFonts w:cs="Times New Roman"/>
          <w:szCs w:val="24"/>
        </w:rPr>
        <w:t xml:space="preserve"> </w:t>
      </w:r>
      <w:r w:rsidR="00176E45">
        <w:rPr>
          <w:rFonts w:cs="Times New Roman" w:hint="eastAsia"/>
          <w:szCs w:val="24"/>
        </w:rPr>
        <w:t>4</w:t>
      </w:r>
      <w:r w:rsidRPr="00EE6890">
        <w:rPr>
          <w:rFonts w:cs="Times New Roman"/>
          <w:szCs w:val="24"/>
        </w:rPr>
        <w:t xml:space="preserve"> pp.</w:t>
      </w:r>
      <w:r w:rsidR="00AF0689" w:rsidRPr="00EE6890">
        <w:rPr>
          <w:rFonts w:cs="Times New Roman"/>
          <w:szCs w:val="24"/>
        </w:rPr>
        <w:t xml:space="preserve"> Available at https://www.npfc.int/</w:t>
      </w:r>
    </w:p>
    <w:p w14:paraId="52764F14" w14:textId="77777777" w:rsidR="0032691E" w:rsidRPr="00EE6890" w:rsidRDefault="0032691E" w:rsidP="0032691E">
      <w:pPr>
        <w:pBdr>
          <w:bottom w:val="single" w:sz="12" w:space="1" w:color="auto"/>
        </w:pBdr>
        <w:rPr>
          <w:rFonts w:cs="Times New Roman"/>
          <w:sz w:val="21"/>
          <w:szCs w:val="21"/>
        </w:rPr>
      </w:pPr>
    </w:p>
    <w:p w14:paraId="4C38CD39" w14:textId="77777777" w:rsidR="0032691E" w:rsidRPr="00EE6890" w:rsidRDefault="0032691E">
      <w:pPr>
        <w:widowControl/>
        <w:jc w:val="left"/>
        <w:rPr>
          <w:rFonts w:cs="Times New Roman"/>
          <w:sz w:val="21"/>
          <w:szCs w:val="21"/>
        </w:rPr>
      </w:pPr>
      <w:r w:rsidRPr="00EE6890">
        <w:rPr>
          <w:rFonts w:cs="Times New Roman"/>
          <w:sz w:val="21"/>
          <w:szCs w:val="21"/>
        </w:rPr>
        <w:br w:type="page"/>
      </w:r>
    </w:p>
    <w:p w14:paraId="37D7F6DD" w14:textId="26DF36B2" w:rsidR="000F6730" w:rsidRPr="00EE6890" w:rsidRDefault="000F6730" w:rsidP="000F6730">
      <w:pPr>
        <w:jc w:val="center"/>
        <w:rPr>
          <w:rFonts w:cs="Times New Roman"/>
        </w:rPr>
      </w:pPr>
      <w:r w:rsidRPr="00EE6890">
        <w:rPr>
          <w:rFonts w:cs="Times New Roman"/>
          <w:sz w:val="28"/>
          <w:szCs w:val="24"/>
        </w:rPr>
        <w:lastRenderedPageBreak/>
        <w:t>Working Group on NPA and SA - Summary for 202</w:t>
      </w:r>
      <w:r w:rsidR="00D31D54" w:rsidRPr="00EE6890">
        <w:rPr>
          <w:rFonts w:cs="Times New Roman"/>
          <w:sz w:val="28"/>
          <w:szCs w:val="24"/>
        </w:rPr>
        <w:t>4</w:t>
      </w:r>
    </w:p>
    <w:p w14:paraId="73265539" w14:textId="77777777" w:rsidR="000F6730" w:rsidRPr="00EE6890" w:rsidRDefault="000F6730" w:rsidP="000F6730">
      <w:pPr>
        <w:rPr>
          <w:rFonts w:cs="Times New Roman"/>
        </w:rPr>
      </w:pPr>
    </w:p>
    <w:p w14:paraId="20A05CDA" w14:textId="77777777" w:rsidR="000F6730" w:rsidRPr="00EE6890" w:rsidRDefault="000F6730" w:rsidP="000F6730">
      <w:pPr>
        <w:jc w:val="center"/>
        <w:rPr>
          <w:rFonts w:cs="Times New Roman"/>
        </w:rPr>
      </w:pPr>
      <w:r w:rsidRPr="00EE6890">
        <w:rPr>
          <w:rFonts w:cs="Times New Roman"/>
        </w:rPr>
        <w:t>Kota Sawada (Lead of the SWG NPA-SA)</w:t>
      </w:r>
    </w:p>
    <w:p w14:paraId="4316D576" w14:textId="77777777" w:rsidR="000F6730" w:rsidRPr="00EE6890" w:rsidRDefault="000F6730" w:rsidP="000F6730">
      <w:pPr>
        <w:jc w:val="center"/>
        <w:rPr>
          <w:rFonts w:cs="Times New Roman"/>
        </w:rPr>
      </w:pPr>
      <w:r w:rsidRPr="00EE6890">
        <w:rPr>
          <w:rFonts w:cs="Times New Roman"/>
        </w:rPr>
        <w:t>Oceanic Resources Group, Fisheries Resources Institute,</w:t>
      </w:r>
    </w:p>
    <w:p w14:paraId="5E07E788" w14:textId="77777777" w:rsidR="000F6730" w:rsidRPr="00EE6890" w:rsidRDefault="000F6730" w:rsidP="000F6730">
      <w:pPr>
        <w:jc w:val="center"/>
        <w:rPr>
          <w:rFonts w:cs="Times New Roman"/>
        </w:rPr>
      </w:pPr>
      <w:r w:rsidRPr="00EE6890">
        <w:rPr>
          <w:rFonts w:cs="Times New Roman"/>
        </w:rPr>
        <w:t>Japan Fisheries Research and Education Agency, Japan</w:t>
      </w:r>
    </w:p>
    <w:p w14:paraId="170E52E8" w14:textId="77777777" w:rsidR="00D31D54" w:rsidRPr="00EE6890" w:rsidRDefault="00D31D54" w:rsidP="00D31D54">
      <w:pPr>
        <w:rPr>
          <w:rFonts w:cs="Times New Roman"/>
        </w:rPr>
      </w:pPr>
    </w:p>
    <w:p w14:paraId="7BD1E6AF" w14:textId="77777777" w:rsidR="00D31D54" w:rsidRPr="00EE6890" w:rsidRDefault="00D31D54" w:rsidP="00D31D54">
      <w:pPr>
        <w:rPr>
          <w:rFonts w:cs="Times New Roman"/>
        </w:rPr>
      </w:pPr>
    </w:p>
    <w:p w14:paraId="1B8F523E" w14:textId="77777777" w:rsidR="00D31D54" w:rsidRPr="00EE6890" w:rsidRDefault="00D31D54" w:rsidP="00D31D54">
      <w:pPr>
        <w:jc w:val="center"/>
        <w:rPr>
          <w:rFonts w:cs="Times New Roman"/>
          <w:sz w:val="28"/>
          <w:szCs w:val="28"/>
        </w:rPr>
      </w:pPr>
      <w:r w:rsidRPr="00EE6890">
        <w:rPr>
          <w:rFonts w:cs="Times New Roman"/>
          <w:sz w:val="28"/>
          <w:szCs w:val="28"/>
        </w:rPr>
        <w:t>Abstract</w:t>
      </w:r>
    </w:p>
    <w:p w14:paraId="6452E4B2" w14:textId="77777777" w:rsidR="00D31D54" w:rsidRPr="00EE6890" w:rsidRDefault="00D31D54" w:rsidP="00D31D54">
      <w:pPr>
        <w:jc w:val="center"/>
        <w:rPr>
          <w:rFonts w:cs="Times New Roman"/>
        </w:rPr>
      </w:pPr>
    </w:p>
    <w:p w14:paraId="5B1C6824" w14:textId="77777777" w:rsidR="00D31D54" w:rsidRPr="00EE6890" w:rsidRDefault="00D31D54" w:rsidP="00D31D54">
      <w:pPr>
        <w:rPr>
          <w:rFonts w:cs="Times New Roman"/>
        </w:rPr>
      </w:pPr>
      <w:r w:rsidRPr="00EE6890">
        <w:rPr>
          <w:rFonts w:cs="Times New Roman"/>
        </w:rPr>
        <w:t>This document summarizes the progress achieved by the Small Working Group on North Pacific Armorhead and Splendid Alfonsino in 2024.</w:t>
      </w:r>
    </w:p>
    <w:p w14:paraId="6BD400FF" w14:textId="77777777" w:rsidR="00D31D54" w:rsidRPr="00EE6890" w:rsidRDefault="00D31D54" w:rsidP="00D31D54">
      <w:pPr>
        <w:rPr>
          <w:rFonts w:cs="Times New Roman"/>
        </w:rPr>
      </w:pPr>
    </w:p>
    <w:p w14:paraId="701D5D44" w14:textId="77777777" w:rsidR="00D31D54" w:rsidRPr="00EE6890" w:rsidRDefault="00D31D54" w:rsidP="00D31D54">
      <w:pPr>
        <w:rPr>
          <w:rFonts w:cs="Times New Roman"/>
        </w:rPr>
      </w:pPr>
    </w:p>
    <w:p w14:paraId="3F372143" w14:textId="77777777" w:rsidR="00D31D54" w:rsidRPr="00EE6890" w:rsidRDefault="00D31D54" w:rsidP="00D31D54">
      <w:pPr>
        <w:jc w:val="center"/>
        <w:rPr>
          <w:rFonts w:cs="Times New Roman"/>
          <w:sz w:val="28"/>
          <w:szCs w:val="28"/>
        </w:rPr>
      </w:pPr>
      <w:r w:rsidRPr="00EE6890">
        <w:rPr>
          <w:rFonts w:cs="Times New Roman"/>
          <w:sz w:val="28"/>
          <w:szCs w:val="28"/>
        </w:rPr>
        <w:t>Introduction</w:t>
      </w:r>
    </w:p>
    <w:p w14:paraId="4103CD19" w14:textId="77777777" w:rsidR="00D31D54" w:rsidRPr="00EE6890" w:rsidRDefault="00D31D54" w:rsidP="00D31D54">
      <w:pPr>
        <w:jc w:val="center"/>
        <w:rPr>
          <w:rFonts w:cs="Times New Roman"/>
        </w:rPr>
      </w:pPr>
    </w:p>
    <w:p w14:paraId="49E0160B" w14:textId="7F90DEF1" w:rsidR="00D31D54" w:rsidRPr="00EE6890" w:rsidRDefault="00D31D54" w:rsidP="00D31D54">
      <w:pPr>
        <w:rPr>
          <w:rFonts w:cs="Times New Roman"/>
        </w:rPr>
      </w:pPr>
      <w:r w:rsidRPr="00EE6890">
        <w:rPr>
          <w:rFonts w:cs="Times New Roman"/>
        </w:rPr>
        <w:t>The Small Working Group on North Pacific Armorhead and Splendid Alfonsino (SWG NPA-SA) held three online meetings in 2024 (May 24</w:t>
      </w:r>
      <w:r w:rsidRPr="00EE6890">
        <w:rPr>
          <w:rFonts w:cs="Times New Roman"/>
          <w:vertAlign w:val="superscript"/>
        </w:rPr>
        <w:t>th</w:t>
      </w:r>
      <w:r w:rsidRPr="00EE6890">
        <w:rPr>
          <w:rFonts w:cs="Times New Roman"/>
        </w:rPr>
        <w:t>, Aug 20</w:t>
      </w:r>
      <w:r w:rsidRPr="00EE6890">
        <w:rPr>
          <w:rFonts w:cs="Times New Roman"/>
          <w:vertAlign w:val="superscript"/>
        </w:rPr>
        <w:t>th</w:t>
      </w:r>
      <w:r w:rsidRPr="00EE6890">
        <w:rPr>
          <w:rFonts w:cs="Times New Roman"/>
        </w:rPr>
        <w:t xml:space="preserve"> and October 16</w:t>
      </w:r>
      <w:r w:rsidRPr="00EE6890">
        <w:rPr>
          <w:rFonts w:cs="Times New Roman"/>
          <w:vertAlign w:val="superscript"/>
        </w:rPr>
        <w:t>th</w:t>
      </w:r>
      <w:r w:rsidRPr="00EE6890">
        <w:rPr>
          <w:rFonts w:cs="Times New Roman"/>
        </w:rPr>
        <w:t xml:space="preserve">). By SSC BF-ME04 </w:t>
      </w:r>
      <w:r w:rsidR="00225365" w:rsidRPr="00225365">
        <w:rPr>
          <w:rFonts w:cs="Times New Roman"/>
          <w:sz w:val="21"/>
        </w:rPr>
        <w:t>(Small Scientific Committee on Bottom Fish and Marine Ecosystems 2023)</w:t>
      </w:r>
      <w:r w:rsidRPr="00EE6890">
        <w:rPr>
          <w:rFonts w:cs="Times New Roman"/>
        </w:rPr>
        <w:t>, the group was tasked with six items as follows:</w:t>
      </w:r>
    </w:p>
    <w:p w14:paraId="34BA754B" w14:textId="77777777" w:rsidR="00D31D54" w:rsidRPr="00EE6890" w:rsidRDefault="00D31D54" w:rsidP="00D31D54">
      <w:pPr>
        <w:pStyle w:val="ListParagraph"/>
        <w:numPr>
          <w:ilvl w:val="0"/>
          <w:numId w:val="28"/>
        </w:numPr>
        <w:ind w:leftChars="0"/>
        <w:contextualSpacing/>
        <w:rPr>
          <w:rFonts w:cs="Times New Roman"/>
        </w:rPr>
      </w:pPr>
      <w:r w:rsidRPr="00EE6890">
        <w:rPr>
          <w:rFonts w:cs="Times New Roman"/>
        </w:rPr>
        <w:t>Deliver science advice on the status of SA to SC09 using the life history based approach</w:t>
      </w:r>
    </w:p>
    <w:p w14:paraId="70329B28" w14:textId="77777777" w:rsidR="00D31D54" w:rsidRPr="00EE6890" w:rsidRDefault="00D31D54" w:rsidP="00D31D54">
      <w:pPr>
        <w:pStyle w:val="ListParagraph"/>
        <w:numPr>
          <w:ilvl w:val="0"/>
          <w:numId w:val="28"/>
        </w:numPr>
        <w:ind w:leftChars="0"/>
        <w:contextualSpacing/>
        <w:rPr>
          <w:rFonts w:cs="Times New Roman"/>
        </w:rPr>
      </w:pPr>
      <w:r w:rsidRPr="00EE6890">
        <w:rPr>
          <w:rFonts w:cs="Times New Roman"/>
        </w:rPr>
        <w:t>Analyze the impact of mesh size change on SA catch size composition</w:t>
      </w:r>
    </w:p>
    <w:p w14:paraId="6077305C" w14:textId="77777777" w:rsidR="00D31D54" w:rsidRPr="00EE6890" w:rsidRDefault="00D31D54" w:rsidP="00D31D54">
      <w:pPr>
        <w:pStyle w:val="ListParagraph"/>
        <w:numPr>
          <w:ilvl w:val="0"/>
          <w:numId w:val="28"/>
        </w:numPr>
        <w:ind w:leftChars="0"/>
        <w:contextualSpacing/>
        <w:rPr>
          <w:rFonts w:cs="Times New Roman"/>
        </w:rPr>
      </w:pPr>
      <w:r w:rsidRPr="00EE6890">
        <w:rPr>
          <w:rFonts w:cs="Times New Roman"/>
        </w:rPr>
        <w:t>Work towards completing approaches using depletion or IBM for NPA</w:t>
      </w:r>
    </w:p>
    <w:p w14:paraId="578729BD" w14:textId="77777777" w:rsidR="00D31D54" w:rsidRPr="00EE6890" w:rsidRDefault="00D31D54" w:rsidP="00D31D54">
      <w:pPr>
        <w:pStyle w:val="ListParagraph"/>
        <w:numPr>
          <w:ilvl w:val="0"/>
          <w:numId w:val="28"/>
        </w:numPr>
        <w:ind w:leftChars="0"/>
        <w:contextualSpacing/>
        <w:rPr>
          <w:rFonts w:cs="Times New Roman"/>
        </w:rPr>
      </w:pPr>
      <w:r w:rsidRPr="00EE6890">
        <w:rPr>
          <w:rFonts w:cs="Times New Roman"/>
        </w:rPr>
        <w:t>Evaluate trend in directed effort relative to NPA catch</w:t>
      </w:r>
    </w:p>
    <w:p w14:paraId="77591C36" w14:textId="77777777" w:rsidR="00D31D54" w:rsidRPr="00EE6890" w:rsidRDefault="00D31D54" w:rsidP="00D31D54">
      <w:pPr>
        <w:pStyle w:val="ListParagraph"/>
        <w:numPr>
          <w:ilvl w:val="0"/>
          <w:numId w:val="28"/>
        </w:numPr>
        <w:ind w:leftChars="0"/>
        <w:contextualSpacing/>
        <w:rPr>
          <w:rFonts w:cs="Times New Roman"/>
        </w:rPr>
      </w:pPr>
      <w:r w:rsidRPr="00EE6890">
        <w:rPr>
          <w:rFonts w:cs="Times New Roman"/>
        </w:rPr>
        <w:t>Update species summaries (SA and NPA)</w:t>
      </w:r>
    </w:p>
    <w:p w14:paraId="309C3AAE" w14:textId="77777777" w:rsidR="00D31D54" w:rsidRPr="00EE6890" w:rsidRDefault="00D31D54" w:rsidP="00D31D54">
      <w:pPr>
        <w:pStyle w:val="ListParagraph"/>
        <w:numPr>
          <w:ilvl w:val="0"/>
          <w:numId w:val="28"/>
        </w:numPr>
        <w:ind w:leftChars="0"/>
        <w:contextualSpacing/>
        <w:rPr>
          <w:rFonts w:cs="Times New Roman"/>
        </w:rPr>
      </w:pPr>
      <w:r w:rsidRPr="00EE6890">
        <w:rPr>
          <w:rFonts w:cs="Times New Roman"/>
        </w:rPr>
        <w:t>Standardize CPUE (lower priority)</w:t>
      </w:r>
    </w:p>
    <w:p w14:paraId="7483F0D0" w14:textId="77777777" w:rsidR="00D31D54" w:rsidRPr="00EE6890" w:rsidRDefault="00D31D54" w:rsidP="00D31D54">
      <w:pPr>
        <w:rPr>
          <w:rFonts w:cs="Times New Roman"/>
        </w:rPr>
      </w:pPr>
      <w:r w:rsidRPr="00EE6890">
        <w:rPr>
          <w:rFonts w:cs="Times New Roman"/>
        </w:rPr>
        <w:t>Progress on those tasks is summarized below.</w:t>
      </w:r>
    </w:p>
    <w:p w14:paraId="04BA3FF8" w14:textId="77777777" w:rsidR="00D31D54" w:rsidRPr="00EE6890" w:rsidRDefault="00D31D54" w:rsidP="00D31D54">
      <w:pPr>
        <w:rPr>
          <w:rFonts w:cs="Times New Roman"/>
        </w:rPr>
      </w:pPr>
    </w:p>
    <w:p w14:paraId="7834CFDA" w14:textId="7407AF96" w:rsidR="00D31D54" w:rsidRPr="00EE6890" w:rsidRDefault="00D31D54" w:rsidP="00D31D54">
      <w:pPr>
        <w:rPr>
          <w:rFonts w:cs="Times New Roman"/>
          <w:b/>
          <w:bCs/>
        </w:rPr>
      </w:pPr>
      <w:r w:rsidRPr="00EE6890">
        <w:rPr>
          <w:rFonts w:cs="Times New Roman"/>
          <w:b/>
          <w:bCs/>
        </w:rPr>
        <w:t>1. Deliver science advice on the status of SA to SC09 using the life history-based approach</w:t>
      </w:r>
    </w:p>
    <w:p w14:paraId="1075EB5B" w14:textId="05549111" w:rsidR="00D31D54" w:rsidRPr="00EE6890" w:rsidRDefault="00D31D54" w:rsidP="00D31D54">
      <w:pPr>
        <w:rPr>
          <w:rFonts w:cs="Times New Roman"/>
        </w:rPr>
      </w:pPr>
      <w:r w:rsidRPr="00EE6890">
        <w:rPr>
          <w:rFonts w:cs="Times New Roman"/>
        </w:rPr>
        <w:t xml:space="preserve">In 2023, the SWG NPA-SA shared biological data of SA collected by Members and worked to estimate life-history parameters </w:t>
      </w:r>
      <w:r w:rsidR="00225365" w:rsidRPr="00225365">
        <w:rPr>
          <w:rFonts w:cs="Times New Roman"/>
          <w:sz w:val="21"/>
        </w:rPr>
        <w:t>(Ayer et al. 2023; Sawada 2023)</w:t>
      </w:r>
      <w:r w:rsidRPr="00EE6890">
        <w:rPr>
          <w:rFonts w:cs="Times New Roman"/>
        </w:rPr>
        <w:t>. In 2024, the SWG NPA-SA improved the estimation (</w:t>
      </w:r>
      <w:r w:rsidR="0064427A" w:rsidRPr="00FC45CC">
        <w:rPr>
          <w:rFonts w:cs="Times New Roman" w:hint="eastAsia"/>
        </w:rPr>
        <w:t>Amoroso</w:t>
      </w:r>
      <w:r w:rsidRPr="00FC45CC">
        <w:rPr>
          <w:rFonts w:cs="Times New Roman"/>
        </w:rPr>
        <w:t xml:space="preserve"> et al. 2024</w:t>
      </w:r>
      <w:r w:rsidRPr="00EE6890">
        <w:rPr>
          <w:rFonts w:cs="Times New Roman"/>
        </w:rPr>
        <w:t>). The estimated parameters were used for life history-based analyses (</w:t>
      </w:r>
      <w:r w:rsidRPr="00C95C75">
        <w:rPr>
          <w:rFonts w:cs="Times New Roman"/>
        </w:rPr>
        <w:t>Pons et al. 2024</w:t>
      </w:r>
      <w:r w:rsidRPr="00EE6890">
        <w:rPr>
          <w:rFonts w:cs="Times New Roman"/>
        </w:rPr>
        <w:t>) on the stock status of SA. The uncertainty of parameter estimates is also considered by running sensitivity analyses.</w:t>
      </w:r>
    </w:p>
    <w:p w14:paraId="16D2B78F" w14:textId="6C77CFA1" w:rsidR="00D31D54" w:rsidRPr="00EE6890" w:rsidRDefault="00D31D54" w:rsidP="00D31D54">
      <w:pPr>
        <w:ind w:firstLine="360"/>
        <w:rPr>
          <w:rFonts w:cs="Times New Roman"/>
        </w:rPr>
      </w:pPr>
      <w:r w:rsidRPr="00EE6890">
        <w:rPr>
          <w:rFonts w:cs="Times New Roman"/>
        </w:rPr>
        <w:t>The SWG recommended the SSC BF-ME05 deliver the following science advice to SC09, after reviewing the report of those analyses (Pons et al. 2024).</w:t>
      </w:r>
    </w:p>
    <w:p w14:paraId="2CD8B6F3" w14:textId="1608CAE8" w:rsidR="00D31D54" w:rsidRPr="00EE6890" w:rsidRDefault="00D31D54" w:rsidP="00D31D54">
      <w:pPr>
        <w:pStyle w:val="ListParagraph"/>
        <w:numPr>
          <w:ilvl w:val="0"/>
          <w:numId w:val="29"/>
        </w:numPr>
        <w:ind w:leftChars="0"/>
        <w:rPr>
          <w:rFonts w:cs="Times New Roman"/>
        </w:rPr>
      </w:pPr>
      <w:r w:rsidRPr="00EE6890">
        <w:rPr>
          <w:rFonts w:cs="Times New Roman"/>
        </w:rPr>
        <w:t xml:space="preserve">Based on YPR analysis, growth overfishing of the SA stock </w:t>
      </w:r>
      <w:r w:rsidR="00047241">
        <w:rPr>
          <w:rFonts w:cs="Times New Roman"/>
        </w:rPr>
        <w:t xml:space="preserve">is </w:t>
      </w:r>
      <w:r w:rsidRPr="00EE6890">
        <w:rPr>
          <w:rFonts w:cs="Times New Roman"/>
        </w:rPr>
        <w:t>occur</w:t>
      </w:r>
      <w:r w:rsidR="00FD56B6">
        <w:rPr>
          <w:rFonts w:cs="Times New Roman" w:hint="eastAsia"/>
        </w:rPr>
        <w:t>r</w:t>
      </w:r>
      <w:r w:rsidR="00047241">
        <w:rPr>
          <w:rFonts w:cs="Times New Roman"/>
        </w:rPr>
        <w:t>ing</w:t>
      </w:r>
      <w:r w:rsidRPr="00EE6890">
        <w:rPr>
          <w:rFonts w:cs="Times New Roman"/>
        </w:rPr>
        <w:t xml:space="preserve"> in trawl fisheries</w:t>
      </w:r>
    </w:p>
    <w:p w14:paraId="11D680CA" w14:textId="30906173" w:rsidR="0049430B" w:rsidRPr="00EE6890" w:rsidRDefault="00EC6179" w:rsidP="00D31D54">
      <w:pPr>
        <w:pStyle w:val="ListParagraph"/>
        <w:numPr>
          <w:ilvl w:val="0"/>
          <w:numId w:val="29"/>
        </w:numPr>
        <w:ind w:leftChars="0"/>
        <w:rPr>
          <w:rFonts w:cs="Times New Roman"/>
        </w:rPr>
      </w:pPr>
      <w:r w:rsidRPr="00EC6179">
        <w:rPr>
          <w:rFonts w:cs="Times New Roman"/>
        </w:rPr>
        <w:t xml:space="preserve">Based on LBSPR analysis for all gears combined, recruitment overfishing of the SA stock is likely to be occurring. This result may be biased towards overfishing due to the dome </w:t>
      </w:r>
      <w:r w:rsidRPr="00EC6179">
        <w:rPr>
          <w:rFonts w:cs="Times New Roman"/>
        </w:rPr>
        <w:lastRenderedPageBreak/>
        <w:t>shaped selectivity of the trawl gear which is the main fishery contributing to the SA total catch</w:t>
      </w:r>
    </w:p>
    <w:p w14:paraId="4B98932B" w14:textId="77777777" w:rsidR="00C64D02" w:rsidRPr="00EE6890" w:rsidRDefault="00C64D02" w:rsidP="00C64D02">
      <w:pPr>
        <w:ind w:firstLine="360"/>
        <w:rPr>
          <w:rFonts w:cs="Times New Roman"/>
        </w:rPr>
      </w:pPr>
    </w:p>
    <w:p w14:paraId="0AA5AF50" w14:textId="28A19167" w:rsidR="00D31D54" w:rsidRPr="00EE6890" w:rsidRDefault="0049430B" w:rsidP="00C64D02">
      <w:pPr>
        <w:ind w:firstLine="360"/>
        <w:rPr>
          <w:rFonts w:cs="Times New Roman"/>
        </w:rPr>
      </w:pPr>
      <w:r w:rsidRPr="00EE6890">
        <w:rPr>
          <w:rFonts w:cs="Times New Roman"/>
        </w:rPr>
        <w:t>For future work next year, SWG NPA-SA agreed to consider integrated modelling</w:t>
      </w:r>
      <w:r w:rsidR="005F11E1">
        <w:rPr>
          <w:rFonts w:cs="Times New Roman" w:hint="eastAsia"/>
        </w:rPr>
        <w:t xml:space="preserve"> </w:t>
      </w:r>
      <w:r w:rsidR="005F11E1" w:rsidRPr="005F11E1">
        <w:rPr>
          <w:rFonts w:cs="Times New Roman"/>
        </w:rPr>
        <w:t>(e.g. Stock Synthesis, Methot and Wetzel 2013)</w:t>
      </w:r>
      <w:r w:rsidRPr="00EE6890">
        <w:rPr>
          <w:rFonts w:cs="Times New Roman"/>
        </w:rPr>
        <w:t xml:space="preserve"> with multiple fleets to assess the SA stock.</w:t>
      </w:r>
    </w:p>
    <w:p w14:paraId="114356CC" w14:textId="77777777" w:rsidR="00D31D54" w:rsidRDefault="00D31D54" w:rsidP="00D31D54">
      <w:pPr>
        <w:rPr>
          <w:rFonts w:cs="Times New Roman"/>
        </w:rPr>
      </w:pPr>
    </w:p>
    <w:p w14:paraId="187F8591" w14:textId="77777777" w:rsidR="00B238D4" w:rsidRPr="00EE6890" w:rsidRDefault="00B238D4" w:rsidP="00D31D54">
      <w:pPr>
        <w:rPr>
          <w:rFonts w:cs="Times New Roman"/>
        </w:rPr>
      </w:pPr>
    </w:p>
    <w:p w14:paraId="5F659591" w14:textId="65E81197" w:rsidR="00D31D54" w:rsidRPr="00EE6890" w:rsidRDefault="00D31D54" w:rsidP="00D31D54">
      <w:pPr>
        <w:rPr>
          <w:rFonts w:cs="Times New Roman"/>
          <w:b/>
          <w:bCs/>
        </w:rPr>
      </w:pPr>
      <w:r w:rsidRPr="00EE6890">
        <w:rPr>
          <w:rFonts w:cs="Times New Roman"/>
          <w:b/>
          <w:bCs/>
        </w:rPr>
        <w:t>2. Analyze the impact of mesh size change on SA catch size composition</w:t>
      </w:r>
    </w:p>
    <w:p w14:paraId="5727C420" w14:textId="77777777" w:rsidR="00D31D54" w:rsidRPr="00EE6890" w:rsidRDefault="00D31D54" w:rsidP="00D31D54">
      <w:pPr>
        <w:rPr>
          <w:rFonts w:cs="Times New Roman"/>
        </w:rPr>
      </w:pPr>
      <w:r w:rsidRPr="00EE6890">
        <w:rPr>
          <w:rFonts w:cs="Times New Roman"/>
        </w:rPr>
        <w:t>In 2023, the SWG agreed to evaluate the effectiveness of the current mesh size regulation as one of the approaches to monitor the effectiveness of current management measures of NPFC.</w:t>
      </w:r>
    </w:p>
    <w:p w14:paraId="2B9BE168" w14:textId="77777777" w:rsidR="00D31D54" w:rsidRPr="00EE6890" w:rsidRDefault="00D31D54" w:rsidP="00D31D54">
      <w:pPr>
        <w:ind w:firstLine="840"/>
        <w:rPr>
          <w:rFonts w:cs="Times New Roman"/>
        </w:rPr>
      </w:pPr>
      <w:r w:rsidRPr="00EE6890">
        <w:rPr>
          <w:rFonts w:cs="Times New Roman"/>
        </w:rPr>
        <w:t>The SWG noted that the catch size composition data for SA is not only useful for this task, but also helps analyses for other tasks, especially Task 1. The SWG developed and agreed upon the Term of References for data sharing. The SWG reviewed the data shared by Members.</w:t>
      </w:r>
    </w:p>
    <w:p w14:paraId="16232E32" w14:textId="77777777" w:rsidR="00D31D54" w:rsidRPr="00EE6890" w:rsidRDefault="00D31D54" w:rsidP="00D31D54">
      <w:pPr>
        <w:ind w:firstLine="840"/>
        <w:rPr>
          <w:rFonts w:cs="Times New Roman"/>
        </w:rPr>
      </w:pPr>
      <w:r w:rsidRPr="00EE6890">
        <w:rPr>
          <w:rFonts w:cs="Times New Roman"/>
        </w:rPr>
        <w:t>The SWG reviewed the preliminary analyses by Japan on the impact of trawl’s mesh size change on SA catch size composition introduced from 2019. Korean data were not used due to zero SA record since 2019. The analysis showed that, contrary to expectations, individuals caught since 2019 were smaller than ones before 2019. However, there was a large deviation from normality, and therefore further refinement is needed. Japan will present the updated analysis to the SSC BF-ME05 (</w:t>
      </w:r>
      <w:r w:rsidRPr="00C95C75">
        <w:rPr>
          <w:rFonts w:cs="Times New Roman"/>
        </w:rPr>
        <w:t>Ayer and Sawada 2024</w:t>
      </w:r>
      <w:r w:rsidRPr="00EE6890">
        <w:rPr>
          <w:rFonts w:cs="Times New Roman"/>
        </w:rPr>
        <w:t>)</w:t>
      </w:r>
    </w:p>
    <w:p w14:paraId="5EAFFEB7" w14:textId="77777777" w:rsidR="00D31D54" w:rsidRPr="00EE6890" w:rsidRDefault="00D31D54" w:rsidP="00D31D54">
      <w:pPr>
        <w:rPr>
          <w:rFonts w:cs="Times New Roman"/>
        </w:rPr>
      </w:pPr>
    </w:p>
    <w:p w14:paraId="20CBA86B" w14:textId="77777777" w:rsidR="00D31D54" w:rsidRPr="00EE6890" w:rsidRDefault="00D31D54" w:rsidP="00D31D54">
      <w:pPr>
        <w:rPr>
          <w:rFonts w:cs="Times New Roman"/>
        </w:rPr>
      </w:pPr>
    </w:p>
    <w:p w14:paraId="30916042" w14:textId="6F33BB07" w:rsidR="00D31D54" w:rsidRPr="00EE6890" w:rsidRDefault="00D31D54" w:rsidP="00D31D54">
      <w:pPr>
        <w:rPr>
          <w:rFonts w:cs="Times New Roman"/>
        </w:rPr>
      </w:pPr>
      <w:r w:rsidRPr="00EE6890">
        <w:rPr>
          <w:rFonts w:cs="Times New Roman"/>
          <w:b/>
          <w:bCs/>
        </w:rPr>
        <w:t>3. Work towards completing approaches using depletion or IBM for NPA</w:t>
      </w:r>
    </w:p>
    <w:p w14:paraId="5426853D" w14:textId="35D74BA2" w:rsidR="00D31D54" w:rsidRPr="00EE6890" w:rsidRDefault="00D31D54" w:rsidP="00D31D54">
      <w:pPr>
        <w:rPr>
          <w:rFonts w:cs="Times New Roman"/>
        </w:rPr>
      </w:pPr>
      <w:r w:rsidRPr="00EE6890">
        <w:rPr>
          <w:rFonts w:cs="Times New Roman"/>
        </w:rPr>
        <w:t xml:space="preserve">In 2023, the SWG agreed to conduct individual-based bioenergetic modeling </w:t>
      </w:r>
      <w:r w:rsidR="00225365" w:rsidRPr="00225365">
        <w:rPr>
          <w:rFonts w:cs="Times New Roman"/>
        </w:rPr>
        <w:t>(see Gibson et al. 2019)</w:t>
      </w:r>
      <w:r w:rsidRPr="00EE6890">
        <w:rPr>
          <w:rFonts w:cs="Times New Roman"/>
        </w:rPr>
        <w:t xml:space="preserve"> and depletion analysis </w:t>
      </w:r>
      <w:r w:rsidR="00225365" w:rsidRPr="00225365">
        <w:rPr>
          <w:rFonts w:cs="Times New Roman"/>
        </w:rPr>
        <w:t>(Kiyota et al. 2014)</w:t>
      </w:r>
      <w:r w:rsidRPr="00EE6890">
        <w:rPr>
          <w:rFonts w:cs="Times New Roman"/>
        </w:rPr>
        <w:t xml:space="preserve"> as possible approaches for NPA, and drafted the Terms of Reference and data template for depletion analysis. The SSC BF-ME04 endorsed them.</w:t>
      </w:r>
    </w:p>
    <w:p w14:paraId="64D25704" w14:textId="50F1170B" w:rsidR="00D31D54" w:rsidRPr="00EE6890" w:rsidRDefault="00D31D54" w:rsidP="00D31D54">
      <w:pPr>
        <w:ind w:firstLine="840"/>
        <w:rPr>
          <w:rFonts w:cs="Times New Roman"/>
        </w:rPr>
      </w:pPr>
      <w:r w:rsidRPr="00EE6890">
        <w:rPr>
          <w:rFonts w:cs="Times New Roman"/>
        </w:rPr>
        <w:t>The SWG reviewed the data for depletion analysis shared by Members (Japan and Korea) and update on IBM presented by Canada</w:t>
      </w:r>
      <w:r w:rsidR="00047241">
        <w:rPr>
          <w:rFonts w:cs="Times New Roman"/>
        </w:rPr>
        <w:t xml:space="preserve"> (very little progress was made on this item)</w:t>
      </w:r>
      <w:r w:rsidRPr="00EE6890">
        <w:rPr>
          <w:rFonts w:cs="Times New Roman"/>
        </w:rPr>
        <w:t>.</w:t>
      </w:r>
    </w:p>
    <w:p w14:paraId="746116D5" w14:textId="77777777" w:rsidR="00D31D54" w:rsidRPr="00EE6890" w:rsidRDefault="00D31D54" w:rsidP="00D31D54">
      <w:pPr>
        <w:rPr>
          <w:rFonts w:cs="Times New Roman"/>
        </w:rPr>
      </w:pPr>
    </w:p>
    <w:p w14:paraId="4BB5D62D" w14:textId="2E9AF3F4" w:rsidR="00D31D54" w:rsidRPr="00B238D4" w:rsidRDefault="00D31D54" w:rsidP="00D31D54">
      <w:pPr>
        <w:rPr>
          <w:rFonts w:cs="Times New Roman"/>
          <w:b/>
          <w:bCs/>
        </w:rPr>
      </w:pPr>
      <w:r w:rsidRPr="00B238D4">
        <w:rPr>
          <w:rFonts w:cs="Times New Roman"/>
          <w:b/>
          <w:bCs/>
        </w:rPr>
        <w:t>4. Evaluate trend in directed effort relative to NPA catch</w:t>
      </w:r>
    </w:p>
    <w:p w14:paraId="3309D22E" w14:textId="3BEA3651" w:rsidR="00D31D54" w:rsidRPr="00EE6890" w:rsidRDefault="00D31D54" w:rsidP="00D31D54">
      <w:pPr>
        <w:rPr>
          <w:rFonts w:cs="Times New Roman"/>
        </w:rPr>
      </w:pPr>
      <w:r w:rsidRPr="00EE6890">
        <w:rPr>
          <w:rFonts w:cs="Times New Roman"/>
        </w:rPr>
        <w:t xml:space="preserve">In 2023, the SWG agreed to evaluate encouraged catch by testing the hypothesis that the setting of encouraged catch in 2019 </w:t>
      </w:r>
      <w:r w:rsidR="00225365" w:rsidRPr="00225365">
        <w:rPr>
          <w:rFonts w:cs="Times New Roman"/>
          <w:sz w:val="21"/>
        </w:rPr>
        <w:t>(which will become catch limit since 2025, NPFC Commission 2024)</w:t>
      </w:r>
      <w:r w:rsidRPr="00EE6890">
        <w:rPr>
          <w:rFonts w:cs="Times New Roman"/>
        </w:rPr>
        <w:t xml:space="preserve"> reduced directed fishing effort and fishing pressure on NPA, even though recent annual catch is smaller than the encouraged level </w:t>
      </w:r>
      <w:r w:rsidR="00225365" w:rsidRPr="00225365">
        <w:rPr>
          <w:rFonts w:cs="Times New Roman"/>
          <w:sz w:val="21"/>
        </w:rPr>
        <w:t>(Sawada 2023)</w:t>
      </w:r>
      <w:r w:rsidRPr="00EE6890">
        <w:rPr>
          <w:rFonts w:cs="Times New Roman"/>
        </w:rPr>
        <w:t>.</w:t>
      </w:r>
    </w:p>
    <w:p w14:paraId="1AD10EFF" w14:textId="77777777" w:rsidR="00D31D54" w:rsidRPr="00EE6890" w:rsidRDefault="00D31D54" w:rsidP="00D31D54">
      <w:pPr>
        <w:ind w:firstLine="840"/>
        <w:rPr>
          <w:rFonts w:cs="Times New Roman"/>
        </w:rPr>
      </w:pPr>
      <w:r w:rsidRPr="00EE6890">
        <w:rPr>
          <w:rFonts w:cs="Times New Roman"/>
        </w:rPr>
        <w:t xml:space="preserve">The SWG requested Japan to conduct the analysis to monitor the trend of directed effort using its data, rather than conducting a joint analysis. The SWG reviewed a preliminary work by Japan, which demonstrated that the reduction of fishing efforts recorded as targeting NPA by scientific observers, and recommended further analyses, especially approaches using catch composition to estimate targeting. Japan will present the updated analysis to the SSC BF-ME05 </w:t>
      </w:r>
      <w:r w:rsidRPr="00EE6890">
        <w:rPr>
          <w:rFonts w:cs="Times New Roman"/>
        </w:rPr>
        <w:lastRenderedPageBreak/>
        <w:t>(</w:t>
      </w:r>
      <w:r w:rsidRPr="007C1FA5">
        <w:rPr>
          <w:rFonts w:cs="Times New Roman"/>
        </w:rPr>
        <w:t>Sawada 2024)</w:t>
      </w:r>
      <w:r w:rsidRPr="00EE6890">
        <w:rPr>
          <w:rFonts w:cs="Times New Roman"/>
        </w:rPr>
        <w:t>.</w:t>
      </w:r>
    </w:p>
    <w:p w14:paraId="61390FC5" w14:textId="30EF58CC" w:rsidR="00D31D54" w:rsidRPr="00EE6890" w:rsidRDefault="00D31D54" w:rsidP="00D31D54">
      <w:pPr>
        <w:rPr>
          <w:rFonts w:cs="Times New Roman"/>
        </w:rPr>
      </w:pPr>
      <w:r w:rsidRPr="00EE6890">
        <w:rPr>
          <w:rFonts w:cs="Times New Roman"/>
        </w:rPr>
        <w:tab/>
        <w:t>See Task 3 for the progress on depletion analysis, which will also help evaluate the change of harvest rate that may have been caused by the encouraged catch</w:t>
      </w:r>
      <w:r w:rsidR="00047241">
        <w:rPr>
          <w:rFonts w:cs="Times New Roman"/>
        </w:rPr>
        <w:t xml:space="preserve"> limit</w:t>
      </w:r>
      <w:r w:rsidRPr="00EE6890">
        <w:rPr>
          <w:rFonts w:cs="Times New Roman"/>
        </w:rPr>
        <w:t>.</w:t>
      </w:r>
    </w:p>
    <w:p w14:paraId="651EEF2D" w14:textId="77777777" w:rsidR="00D31D54" w:rsidRPr="00EE6890" w:rsidRDefault="00D31D54" w:rsidP="00D31D54">
      <w:pPr>
        <w:rPr>
          <w:rFonts w:cs="Times New Roman"/>
        </w:rPr>
      </w:pPr>
    </w:p>
    <w:p w14:paraId="6ECA7FCA" w14:textId="0D0E9C19" w:rsidR="00D31D54" w:rsidRPr="00B238D4" w:rsidRDefault="00D31D54" w:rsidP="00D31D54">
      <w:pPr>
        <w:rPr>
          <w:rFonts w:cs="Times New Roman"/>
          <w:b/>
          <w:bCs/>
        </w:rPr>
      </w:pPr>
      <w:r w:rsidRPr="00B238D4">
        <w:rPr>
          <w:rFonts w:cs="Times New Roman"/>
          <w:b/>
          <w:bCs/>
        </w:rPr>
        <w:t>5. Update species summaries (SA and NPA)</w:t>
      </w:r>
    </w:p>
    <w:p w14:paraId="2258E592" w14:textId="5E3FB4CE" w:rsidR="00D31D54" w:rsidRDefault="00D31D54" w:rsidP="00D31D54">
      <w:pPr>
        <w:rPr>
          <w:rFonts w:cs="Times New Roman"/>
        </w:rPr>
      </w:pPr>
      <w:r w:rsidRPr="00EE6890">
        <w:rPr>
          <w:rFonts w:cs="Times New Roman"/>
        </w:rPr>
        <w:t>The SWG reviewed the updated species summaries, and revised Fig.4 for both to show fishing efforts separately by gears, in addition to by Members.</w:t>
      </w:r>
      <w:r w:rsidR="00FD56B6">
        <w:rPr>
          <w:rFonts w:cs="Times New Roman" w:hint="eastAsia"/>
        </w:rPr>
        <w:t xml:space="preserve"> The revised </w:t>
      </w:r>
      <w:r w:rsidR="00FD56B6" w:rsidRPr="00EE6890">
        <w:rPr>
          <w:rFonts w:cs="Times New Roman"/>
        </w:rPr>
        <w:t>Fig.4</w:t>
      </w:r>
      <w:r w:rsidR="00FD56B6">
        <w:rPr>
          <w:rFonts w:cs="Times New Roman" w:hint="eastAsia"/>
        </w:rPr>
        <w:t xml:space="preserve"> (identical for both species) is shown below.</w:t>
      </w:r>
    </w:p>
    <w:p w14:paraId="4D1B352E" w14:textId="77777777" w:rsidR="00FD56B6" w:rsidRPr="00EE6890" w:rsidRDefault="00FD56B6" w:rsidP="00D31D54">
      <w:pPr>
        <w:rPr>
          <w:rFonts w:cs="Times New Roman"/>
        </w:rPr>
      </w:pPr>
    </w:p>
    <w:p w14:paraId="476BDB2B" w14:textId="3CDC4E7E" w:rsidR="00D31D54" w:rsidRDefault="00FD56B6" w:rsidP="00D31D54">
      <w:pPr>
        <w:rPr>
          <w:rFonts w:cs="Times New Roman"/>
        </w:rPr>
      </w:pPr>
      <w:r>
        <w:rPr>
          <w:noProof/>
        </w:rPr>
        <w:drawing>
          <wp:inline distT="0" distB="0" distL="0" distR="0" wp14:anchorId="6ABC1043" wp14:editId="4BC8C809">
            <wp:extent cx="3733800" cy="2489200"/>
            <wp:effectExtent l="0" t="0" r="0" b="0"/>
            <wp:docPr id="31" name="Picture" descr="Figure 4. Historical fishing effort for North Pacific armorhead.  The annual fishing efforts by each country are shown by barplot. The efforts are calculated by the total fishing days operated during the year"/>
            <wp:cNvGraphicFramePr/>
            <a:graphic xmlns:a="http://schemas.openxmlformats.org/drawingml/2006/main">
              <a:graphicData uri="http://schemas.openxmlformats.org/drawingml/2006/picture">
                <pic:pic xmlns:pic="http://schemas.openxmlformats.org/drawingml/2006/picture">
                  <pic:nvPicPr>
                    <pic:cNvPr id="32" name="Picture" descr="North_Pacific_Armorhead/Figures/NPA_Effort.png"/>
                    <pic:cNvPicPr>
                      <a:picLocks noChangeAspect="1" noChangeArrowheads="1"/>
                    </pic:cNvPicPr>
                  </pic:nvPicPr>
                  <pic:blipFill>
                    <a:blip r:embed="rId8"/>
                    <a:stretch>
                      <a:fillRect/>
                    </a:stretch>
                  </pic:blipFill>
                  <pic:spPr bwMode="auto">
                    <a:xfrm>
                      <a:off x="0" y="0"/>
                      <a:ext cx="3733800" cy="2489200"/>
                    </a:xfrm>
                    <a:prstGeom prst="rect">
                      <a:avLst/>
                    </a:prstGeom>
                    <a:noFill/>
                    <a:ln w="9525">
                      <a:noFill/>
                      <a:headEnd/>
                      <a:tailEnd/>
                    </a:ln>
                  </pic:spPr>
                </pic:pic>
              </a:graphicData>
            </a:graphic>
          </wp:inline>
        </w:drawing>
      </w:r>
    </w:p>
    <w:p w14:paraId="4ADC791E" w14:textId="77777777" w:rsidR="00FD56B6" w:rsidRDefault="00FD56B6" w:rsidP="00D31D54">
      <w:pPr>
        <w:rPr>
          <w:rFonts w:cs="Times New Roman"/>
        </w:rPr>
      </w:pPr>
    </w:p>
    <w:p w14:paraId="5560CF91" w14:textId="77777777" w:rsidR="00FD56B6" w:rsidRPr="00EE6890" w:rsidRDefault="00FD56B6" w:rsidP="00D31D54">
      <w:pPr>
        <w:rPr>
          <w:rFonts w:cs="Times New Roman"/>
        </w:rPr>
      </w:pPr>
    </w:p>
    <w:p w14:paraId="0FC3E541" w14:textId="4F97DB04" w:rsidR="00D31D54" w:rsidRPr="00B238D4" w:rsidRDefault="00D31D54" w:rsidP="00D31D54">
      <w:pPr>
        <w:rPr>
          <w:rFonts w:cs="Times New Roman"/>
          <w:b/>
          <w:bCs/>
        </w:rPr>
      </w:pPr>
      <w:r w:rsidRPr="00B238D4">
        <w:rPr>
          <w:rFonts w:cs="Times New Roman"/>
          <w:b/>
          <w:bCs/>
        </w:rPr>
        <w:t>6. Standardize CPUE</w:t>
      </w:r>
    </w:p>
    <w:p w14:paraId="2289C1C8" w14:textId="64D16387" w:rsidR="00D31D54" w:rsidRPr="00EE6890" w:rsidRDefault="00D31D54" w:rsidP="00D31D54">
      <w:pPr>
        <w:rPr>
          <w:rFonts w:cs="Times New Roman"/>
        </w:rPr>
      </w:pPr>
      <w:r w:rsidRPr="00EE6890">
        <w:rPr>
          <w:rFonts w:cs="Times New Roman"/>
        </w:rPr>
        <w:t>The SWG had no progress on this task this year, as it</w:t>
      </w:r>
      <w:r w:rsidR="00533777">
        <w:rPr>
          <w:rFonts w:cs="Times New Roman" w:hint="eastAsia"/>
        </w:rPr>
        <w:t>s</w:t>
      </w:r>
      <w:r w:rsidRPr="00EE6890">
        <w:rPr>
          <w:rFonts w:cs="Times New Roman"/>
        </w:rPr>
        <w:t xml:space="preserve"> priority</w:t>
      </w:r>
      <w:r w:rsidR="00533777">
        <w:rPr>
          <w:rFonts w:cs="Times New Roman" w:hint="eastAsia"/>
        </w:rPr>
        <w:t xml:space="preserve"> i</w:t>
      </w:r>
      <w:r w:rsidR="006D6DCA">
        <w:rPr>
          <w:rFonts w:cs="Times New Roman" w:hint="eastAsia"/>
        </w:rPr>
        <w:t>s</w:t>
      </w:r>
      <w:r w:rsidR="00533777">
        <w:rPr>
          <w:rFonts w:cs="Times New Roman" w:hint="eastAsia"/>
        </w:rPr>
        <w:t xml:space="preserve"> lower</w:t>
      </w:r>
      <w:r w:rsidRPr="00EE6890">
        <w:rPr>
          <w:rFonts w:cs="Times New Roman"/>
        </w:rPr>
        <w:t xml:space="preserve">. However, participants noted that applying integrated model will require an </w:t>
      </w:r>
      <w:r w:rsidR="006D6DCA">
        <w:rPr>
          <w:rFonts w:cs="Times New Roman" w:hint="eastAsia"/>
        </w:rPr>
        <w:t>index of</w:t>
      </w:r>
      <w:r w:rsidRPr="00EE6890">
        <w:rPr>
          <w:rFonts w:cs="Times New Roman"/>
        </w:rPr>
        <w:t xml:space="preserve"> abundance. Thus, the SWG recommended keeping it in the task list as a higher priority, if the integrative modeling of SA becomes the future task for the group (see Task 1).</w:t>
      </w:r>
    </w:p>
    <w:p w14:paraId="19DBCD1B" w14:textId="2456A290" w:rsidR="00D31D54" w:rsidRPr="00EE6890" w:rsidRDefault="00D31D54" w:rsidP="00D31D54">
      <w:pPr>
        <w:ind w:firstLine="840"/>
        <w:rPr>
          <w:rFonts w:cs="Times New Roman"/>
        </w:rPr>
      </w:pPr>
      <w:r w:rsidRPr="00EE6890">
        <w:rPr>
          <w:rFonts w:cs="Times New Roman"/>
        </w:rPr>
        <w:t xml:space="preserve">Japan pointed out possible caveats to interpret CPUE as an index of abundance, that is, target shift </w:t>
      </w:r>
      <w:r w:rsidR="00225365" w:rsidRPr="00225365">
        <w:rPr>
          <w:rFonts w:cs="Times New Roman"/>
          <w:sz w:val="21"/>
        </w:rPr>
        <w:t>(Sawada et al. 2017)</w:t>
      </w:r>
      <w:r w:rsidRPr="00EE6890">
        <w:rPr>
          <w:rFonts w:cs="Times New Roman"/>
        </w:rPr>
        <w:t xml:space="preserve"> and misreporting </w:t>
      </w:r>
      <w:r w:rsidR="00225365" w:rsidRPr="00225365">
        <w:rPr>
          <w:rFonts w:cs="Times New Roman"/>
          <w:sz w:val="21"/>
        </w:rPr>
        <w:t>(Technical and Compliance Committee 2018)</w:t>
      </w:r>
      <w:r w:rsidRPr="00EE6890">
        <w:rPr>
          <w:rFonts w:cs="Times New Roman"/>
        </w:rPr>
        <w:t>.</w:t>
      </w:r>
    </w:p>
    <w:p w14:paraId="2058482C" w14:textId="77777777" w:rsidR="00D31D54" w:rsidRDefault="00D31D54" w:rsidP="00D31D54">
      <w:pPr>
        <w:rPr>
          <w:rFonts w:cs="Times New Roman"/>
        </w:rPr>
      </w:pPr>
    </w:p>
    <w:p w14:paraId="1639670A" w14:textId="77777777" w:rsidR="005F11E1" w:rsidRPr="00EE6890" w:rsidRDefault="005F11E1" w:rsidP="00D31D54">
      <w:pPr>
        <w:rPr>
          <w:rFonts w:cs="Times New Roman"/>
        </w:rPr>
      </w:pPr>
    </w:p>
    <w:p w14:paraId="75D57EC5" w14:textId="77777777" w:rsidR="00D31D54" w:rsidRPr="00B33DAB" w:rsidRDefault="00D31D54" w:rsidP="00D31D54">
      <w:pPr>
        <w:jc w:val="center"/>
        <w:rPr>
          <w:rFonts w:cs="Times New Roman"/>
          <w:sz w:val="28"/>
          <w:szCs w:val="28"/>
        </w:rPr>
      </w:pPr>
      <w:r w:rsidRPr="00B33DAB">
        <w:rPr>
          <w:rFonts w:cs="Times New Roman"/>
          <w:sz w:val="28"/>
          <w:szCs w:val="28"/>
        </w:rPr>
        <w:t>Acknowledgements</w:t>
      </w:r>
    </w:p>
    <w:p w14:paraId="1A6D5403" w14:textId="469B8D5B" w:rsidR="00D31D54" w:rsidRPr="00EE6890" w:rsidRDefault="00D31D54" w:rsidP="00D31D54">
      <w:pPr>
        <w:rPr>
          <w:rFonts w:cs="Times New Roman"/>
        </w:rPr>
      </w:pPr>
      <w:r w:rsidRPr="00EE6890">
        <w:rPr>
          <w:rFonts w:cs="Times New Roman"/>
        </w:rPr>
        <w:t xml:space="preserve">I thank all the participants, including External Experts Drs. Maite Pons and Ricardo </w:t>
      </w:r>
      <w:r w:rsidR="00047241">
        <w:rPr>
          <w:rFonts w:cs="Times New Roman"/>
        </w:rPr>
        <w:t>Amoroso</w:t>
      </w:r>
      <w:r w:rsidRPr="00EE6890">
        <w:rPr>
          <w:rFonts w:cs="Times New Roman"/>
        </w:rPr>
        <w:t>, and the Secretariat for their contributions to the Small Working Group on North Pacific Armorhead and Splendid Alfonsino</w:t>
      </w:r>
      <w:r w:rsidR="00C14231">
        <w:rPr>
          <w:rFonts w:cs="Times New Roman" w:hint="eastAsia"/>
        </w:rPr>
        <w:t>, and helpful comments on the manuscript</w:t>
      </w:r>
      <w:r w:rsidRPr="00EE6890">
        <w:rPr>
          <w:rFonts w:cs="Times New Roman"/>
        </w:rPr>
        <w:t>.</w:t>
      </w:r>
    </w:p>
    <w:p w14:paraId="6F3CC816" w14:textId="77777777" w:rsidR="00D31D54" w:rsidRDefault="00D31D54" w:rsidP="00D31D54">
      <w:pPr>
        <w:rPr>
          <w:rFonts w:cs="Times New Roman"/>
        </w:rPr>
      </w:pPr>
    </w:p>
    <w:p w14:paraId="39249B9E" w14:textId="77777777" w:rsidR="005F11E1" w:rsidRPr="00EE6890" w:rsidRDefault="005F11E1" w:rsidP="00D31D54">
      <w:pPr>
        <w:rPr>
          <w:rFonts w:cs="Times New Roman"/>
        </w:rPr>
      </w:pPr>
    </w:p>
    <w:p w14:paraId="09D4DB66" w14:textId="77777777" w:rsidR="00D31D54" w:rsidRPr="00B33DAB" w:rsidRDefault="00D31D54" w:rsidP="00D31D54">
      <w:pPr>
        <w:jc w:val="center"/>
        <w:rPr>
          <w:rFonts w:cs="Times New Roman"/>
          <w:sz w:val="28"/>
          <w:szCs w:val="28"/>
        </w:rPr>
      </w:pPr>
      <w:r w:rsidRPr="00B33DAB">
        <w:rPr>
          <w:rFonts w:cs="Times New Roman"/>
          <w:sz w:val="28"/>
          <w:szCs w:val="28"/>
        </w:rPr>
        <w:t>References</w:t>
      </w:r>
    </w:p>
    <w:p w14:paraId="34E841C9" w14:textId="09EA7B45" w:rsidR="004C5B88" w:rsidRPr="00C16467" w:rsidRDefault="006C365C" w:rsidP="00A9194C">
      <w:pPr>
        <w:pStyle w:val="Bibliography"/>
        <w:spacing w:after="0"/>
        <w:rPr>
          <w:rFonts w:cs="Times New Roman"/>
          <w:szCs w:val="24"/>
        </w:rPr>
      </w:pPr>
      <w:r w:rsidRPr="00C16467">
        <w:rPr>
          <w:rFonts w:cs="Times New Roman"/>
          <w:szCs w:val="24"/>
        </w:rPr>
        <w:lastRenderedPageBreak/>
        <w:t>Amoroso R, Pons M, Arai S, Aye</w:t>
      </w:r>
      <w:r w:rsidR="00A75CFB" w:rsidRPr="00C16467">
        <w:rPr>
          <w:rFonts w:cs="Times New Roman" w:hint="eastAsia"/>
          <w:szCs w:val="24"/>
        </w:rPr>
        <w:t>r</w:t>
      </w:r>
      <w:r w:rsidRPr="00C16467">
        <w:rPr>
          <w:rFonts w:cs="Times New Roman"/>
          <w:szCs w:val="24"/>
        </w:rPr>
        <w:t xml:space="preserve"> C., Song, H., Sawada K</w:t>
      </w:r>
      <w:r w:rsidR="00A75CFB" w:rsidRPr="00C16467">
        <w:rPr>
          <w:rFonts w:cs="Times New Roman" w:hint="eastAsia"/>
          <w:szCs w:val="24"/>
        </w:rPr>
        <w:t xml:space="preserve"> (2024)</w:t>
      </w:r>
      <w:r w:rsidRPr="00C16467">
        <w:rPr>
          <w:rFonts w:cs="Times New Roman"/>
          <w:szCs w:val="24"/>
        </w:rPr>
        <w:t xml:space="preserve"> Life history parameters for Splendid Alfonsino (</w:t>
      </w:r>
      <w:r w:rsidRPr="00C16467">
        <w:rPr>
          <w:rFonts w:cs="Times New Roman"/>
          <w:i/>
          <w:iCs/>
          <w:szCs w:val="24"/>
        </w:rPr>
        <w:t>Beryx splendens</w:t>
      </w:r>
      <w:r w:rsidRPr="00C16467">
        <w:rPr>
          <w:rFonts w:cs="Times New Roman"/>
          <w:szCs w:val="24"/>
        </w:rPr>
        <w:t>) in the North Pacific. NPFC-2024-SSC BFME05-WP</w:t>
      </w:r>
      <w:r w:rsidR="000C4520">
        <w:rPr>
          <w:rFonts w:cs="Times New Roman"/>
          <w:szCs w:val="24"/>
        </w:rPr>
        <w:t>08</w:t>
      </w:r>
      <w:r w:rsidRPr="00C16467">
        <w:rPr>
          <w:rFonts w:cs="Times New Roman"/>
          <w:szCs w:val="24"/>
        </w:rPr>
        <w:t>.</w:t>
      </w:r>
      <w:r w:rsidRPr="00C16467">
        <w:rPr>
          <w:rFonts w:cs="Times New Roman" w:hint="eastAsia"/>
          <w:szCs w:val="24"/>
        </w:rPr>
        <w:t xml:space="preserve"> 21 </w:t>
      </w:r>
      <w:r w:rsidRPr="00C16467">
        <w:rPr>
          <w:rFonts w:cs="Times New Roman"/>
          <w:szCs w:val="24"/>
        </w:rPr>
        <w:t>pp.</w:t>
      </w:r>
    </w:p>
    <w:p w14:paraId="7CA6694E" w14:textId="77777777" w:rsidR="005F5E54" w:rsidRPr="00C16467" w:rsidRDefault="005F11E1" w:rsidP="005F5E54">
      <w:pPr>
        <w:pStyle w:val="Bibliography"/>
        <w:spacing w:after="0"/>
        <w:rPr>
          <w:rFonts w:cs="Times New Roman"/>
          <w:szCs w:val="24"/>
        </w:rPr>
      </w:pPr>
      <w:r w:rsidRPr="00C16467">
        <w:rPr>
          <w:rFonts w:cs="Times New Roman"/>
          <w:szCs w:val="24"/>
        </w:rPr>
        <w:t>Ayer CG, Arai S, Sawada K (2023) Size at maturity of splendid alfonsino (</w:t>
      </w:r>
      <w:r w:rsidRPr="00C16467">
        <w:rPr>
          <w:rFonts w:cs="Times New Roman"/>
          <w:i/>
          <w:iCs/>
          <w:szCs w:val="24"/>
        </w:rPr>
        <w:t>Beryx splendens</w:t>
      </w:r>
      <w:r w:rsidRPr="00C16467">
        <w:rPr>
          <w:rFonts w:cs="Times New Roman"/>
          <w:szCs w:val="24"/>
        </w:rPr>
        <w:t>) from the Emperor seamounts. NPFC-2023-BFME04-WP10</w:t>
      </w:r>
      <w:r w:rsidR="0064427A" w:rsidRPr="00C16467">
        <w:rPr>
          <w:rFonts w:cs="Times New Roman" w:hint="eastAsia"/>
          <w:szCs w:val="24"/>
        </w:rPr>
        <w:t>.</w:t>
      </w:r>
      <w:r w:rsidRPr="00C16467">
        <w:rPr>
          <w:rFonts w:cs="Times New Roman"/>
          <w:szCs w:val="24"/>
        </w:rPr>
        <w:t xml:space="preserve"> 9</w:t>
      </w:r>
      <w:r w:rsidR="0064427A" w:rsidRPr="00C16467">
        <w:rPr>
          <w:rFonts w:cs="Times New Roman" w:hint="eastAsia"/>
          <w:szCs w:val="24"/>
        </w:rPr>
        <w:t xml:space="preserve"> pp.</w:t>
      </w:r>
    </w:p>
    <w:p w14:paraId="7954E414" w14:textId="4D3B595C" w:rsidR="005F5E54" w:rsidRPr="00C16467" w:rsidRDefault="005F5E54" w:rsidP="005F5E54">
      <w:pPr>
        <w:pStyle w:val="Bibliography"/>
        <w:spacing w:after="0"/>
        <w:rPr>
          <w:rFonts w:cs="Times New Roman"/>
          <w:szCs w:val="24"/>
        </w:rPr>
      </w:pPr>
      <w:r w:rsidRPr="00C16467">
        <w:rPr>
          <w:szCs w:val="24"/>
        </w:rPr>
        <w:t>Ayer, CG</w:t>
      </w:r>
      <w:r w:rsidRPr="00C16467">
        <w:rPr>
          <w:rFonts w:hint="eastAsia"/>
          <w:szCs w:val="24"/>
        </w:rPr>
        <w:t>,</w:t>
      </w:r>
      <w:r w:rsidRPr="00C16467">
        <w:rPr>
          <w:szCs w:val="24"/>
        </w:rPr>
        <w:t xml:space="preserve"> Sawada, K </w:t>
      </w:r>
      <w:r w:rsidRPr="00C16467">
        <w:rPr>
          <w:rFonts w:hint="eastAsia"/>
          <w:szCs w:val="24"/>
        </w:rPr>
        <w:t>(</w:t>
      </w:r>
      <w:r w:rsidRPr="00C16467">
        <w:rPr>
          <w:szCs w:val="24"/>
        </w:rPr>
        <w:t>2024</w:t>
      </w:r>
      <w:r w:rsidRPr="00C16467">
        <w:rPr>
          <w:rFonts w:hint="eastAsia"/>
          <w:szCs w:val="24"/>
        </w:rPr>
        <w:t>)</w:t>
      </w:r>
      <w:r w:rsidRPr="00C16467">
        <w:rPr>
          <w:szCs w:val="24"/>
        </w:rPr>
        <w:t xml:space="preserve"> Impact of mesh size change on catch size composition of splendid alfonsino </w:t>
      </w:r>
      <w:r w:rsidRPr="00C16467">
        <w:rPr>
          <w:i/>
          <w:iCs/>
          <w:szCs w:val="24"/>
        </w:rPr>
        <w:t>Beryx splendens</w:t>
      </w:r>
      <w:r w:rsidRPr="00C16467">
        <w:rPr>
          <w:szCs w:val="24"/>
        </w:rPr>
        <w:t xml:space="preserve"> in the Emperor Seamounts. NPFC-2024-SSC BFME05-WP</w:t>
      </w:r>
      <w:r w:rsidR="0068686A">
        <w:rPr>
          <w:szCs w:val="24"/>
        </w:rPr>
        <w:t>15</w:t>
      </w:r>
      <w:r w:rsidRPr="00C16467">
        <w:rPr>
          <w:szCs w:val="24"/>
        </w:rPr>
        <w:t xml:space="preserve">. </w:t>
      </w:r>
      <w:r w:rsidR="0090171B" w:rsidRPr="00C16467">
        <w:rPr>
          <w:rFonts w:hint="eastAsia"/>
          <w:szCs w:val="24"/>
        </w:rPr>
        <w:t>10</w:t>
      </w:r>
      <w:r w:rsidRPr="00C16467">
        <w:rPr>
          <w:szCs w:val="24"/>
        </w:rPr>
        <w:t xml:space="preserve"> pp.</w:t>
      </w:r>
    </w:p>
    <w:p w14:paraId="01C5B5F4" w14:textId="468CAA6A" w:rsidR="005F11E1" w:rsidRPr="00C16467" w:rsidRDefault="005F11E1" w:rsidP="00A9194C">
      <w:pPr>
        <w:pStyle w:val="Bibliography"/>
        <w:spacing w:after="0"/>
        <w:rPr>
          <w:rFonts w:cs="Times New Roman"/>
          <w:szCs w:val="24"/>
        </w:rPr>
      </w:pPr>
      <w:r w:rsidRPr="00C16467">
        <w:rPr>
          <w:rFonts w:cs="Times New Roman"/>
          <w:szCs w:val="24"/>
        </w:rPr>
        <w:t>Gibson GA, Stockhausen WT, Coyle KO, Hinckley S, Parada C, Hermann AJ, Doyle M, Ladd C (2019) An individual-based model for sablefish: Exploring the connectivity between potential spawning and nursery grounds in the Gulf of Alaska. Deep Sea Res 2</w:t>
      </w:r>
      <w:r w:rsidR="00775401" w:rsidRPr="00C16467">
        <w:rPr>
          <w:rFonts w:cs="Times New Roman" w:hint="eastAsia"/>
          <w:szCs w:val="24"/>
        </w:rPr>
        <w:t xml:space="preserve">. </w:t>
      </w:r>
      <w:r w:rsidRPr="00C16467">
        <w:rPr>
          <w:rFonts w:cs="Times New Roman"/>
          <w:szCs w:val="24"/>
        </w:rPr>
        <w:t>165:89–112.</w:t>
      </w:r>
    </w:p>
    <w:p w14:paraId="18E1FB61" w14:textId="1D727548" w:rsidR="005F11E1" w:rsidRPr="00C16467" w:rsidRDefault="005F11E1" w:rsidP="00A9194C">
      <w:pPr>
        <w:pStyle w:val="Bibliography"/>
        <w:spacing w:after="0"/>
        <w:rPr>
          <w:rFonts w:cs="Times New Roman"/>
          <w:szCs w:val="24"/>
        </w:rPr>
      </w:pPr>
      <w:r w:rsidRPr="00C16467">
        <w:rPr>
          <w:rFonts w:cs="Times New Roman"/>
          <w:szCs w:val="24"/>
        </w:rPr>
        <w:t>Kiyota M, Okuda T, Yonezaki S (2014) Depletion model analysis on recent recruitment and exploitation levels of North Pacific armorhead in the Southern Emperor–Northern Hawaiian Ridge seamounts. Document SWG12/WP3/J NPFC</w:t>
      </w:r>
      <w:r w:rsidR="00775401" w:rsidRPr="00C16467">
        <w:rPr>
          <w:rFonts w:cs="Times New Roman" w:hint="eastAsia"/>
          <w:szCs w:val="24"/>
        </w:rPr>
        <w:t>.</w:t>
      </w:r>
    </w:p>
    <w:p w14:paraId="30757263" w14:textId="4F045296" w:rsidR="005F11E1" w:rsidRPr="00C16467" w:rsidRDefault="005F11E1" w:rsidP="00A9194C">
      <w:pPr>
        <w:pStyle w:val="Bibliography"/>
        <w:spacing w:after="0"/>
        <w:rPr>
          <w:rFonts w:cs="Times New Roman"/>
          <w:szCs w:val="24"/>
        </w:rPr>
      </w:pPr>
      <w:r w:rsidRPr="00C16467">
        <w:rPr>
          <w:rFonts w:cs="Times New Roman"/>
          <w:szCs w:val="24"/>
        </w:rPr>
        <w:t>Methot RD</w:t>
      </w:r>
      <w:r w:rsidR="00A75CFB" w:rsidRPr="00C16467">
        <w:rPr>
          <w:rFonts w:cs="Times New Roman" w:hint="eastAsia"/>
          <w:szCs w:val="24"/>
        </w:rPr>
        <w:t xml:space="preserve"> </w:t>
      </w:r>
      <w:r w:rsidRPr="00C16467">
        <w:rPr>
          <w:rFonts w:cs="Times New Roman"/>
          <w:szCs w:val="24"/>
        </w:rPr>
        <w:t>Jr, Wetzel CR (2013) Stock synthesis: A biological and statistical framework for fish stock assessment and fishery management. Fish</w:t>
      </w:r>
      <w:r w:rsidR="00775401" w:rsidRPr="00C16467">
        <w:rPr>
          <w:rFonts w:cs="Times New Roman" w:hint="eastAsia"/>
          <w:szCs w:val="24"/>
        </w:rPr>
        <w:t>.</w:t>
      </w:r>
      <w:r w:rsidRPr="00C16467">
        <w:rPr>
          <w:rFonts w:cs="Times New Roman"/>
          <w:szCs w:val="24"/>
        </w:rPr>
        <w:t xml:space="preserve"> Res</w:t>
      </w:r>
      <w:r w:rsidR="00775401" w:rsidRPr="00C16467">
        <w:rPr>
          <w:rFonts w:cs="Times New Roman" w:hint="eastAsia"/>
          <w:szCs w:val="24"/>
        </w:rPr>
        <w:t>.</w:t>
      </w:r>
      <w:r w:rsidRPr="00C16467">
        <w:rPr>
          <w:rFonts w:cs="Times New Roman"/>
          <w:szCs w:val="24"/>
        </w:rPr>
        <w:t xml:space="preserve"> 142:86–99.</w:t>
      </w:r>
    </w:p>
    <w:p w14:paraId="45EDF85E" w14:textId="77777777" w:rsidR="007D6777" w:rsidRPr="00C16467" w:rsidRDefault="005F11E1" w:rsidP="007D6777">
      <w:pPr>
        <w:pStyle w:val="Bibliography"/>
        <w:spacing w:after="0"/>
        <w:rPr>
          <w:rFonts w:cs="Times New Roman"/>
          <w:szCs w:val="24"/>
        </w:rPr>
      </w:pPr>
      <w:r w:rsidRPr="00C16467">
        <w:rPr>
          <w:rFonts w:cs="Times New Roman"/>
          <w:szCs w:val="24"/>
        </w:rPr>
        <w:t>NPFC Commission (2024) Meeting Report. NPFC-2024-COM08-Final Report</w:t>
      </w:r>
      <w:r w:rsidR="0064427A" w:rsidRPr="00C16467">
        <w:rPr>
          <w:rFonts w:cs="Times New Roman" w:hint="eastAsia"/>
          <w:szCs w:val="24"/>
        </w:rPr>
        <w:t>.</w:t>
      </w:r>
      <w:r w:rsidRPr="00C16467">
        <w:rPr>
          <w:rFonts w:cs="Times New Roman"/>
          <w:szCs w:val="24"/>
        </w:rPr>
        <w:t xml:space="preserve"> 734</w:t>
      </w:r>
      <w:r w:rsidR="0064427A" w:rsidRPr="00C16467">
        <w:rPr>
          <w:rFonts w:cs="Times New Roman" w:hint="eastAsia"/>
          <w:szCs w:val="24"/>
        </w:rPr>
        <w:t xml:space="preserve"> pp</w:t>
      </w:r>
      <w:r w:rsidR="00775401" w:rsidRPr="00C16467">
        <w:rPr>
          <w:rFonts w:cs="Times New Roman" w:hint="eastAsia"/>
          <w:szCs w:val="24"/>
        </w:rPr>
        <w:t>.</w:t>
      </w:r>
    </w:p>
    <w:p w14:paraId="0BB4B67E" w14:textId="27205536" w:rsidR="006F6AFA" w:rsidRPr="00C16467" w:rsidRDefault="006F6AFA" w:rsidP="007D6777">
      <w:pPr>
        <w:pStyle w:val="Bibliography"/>
        <w:spacing w:after="0"/>
        <w:rPr>
          <w:rFonts w:cs="Times New Roman"/>
          <w:szCs w:val="24"/>
        </w:rPr>
      </w:pPr>
      <w:r w:rsidRPr="00C16467">
        <w:rPr>
          <w:rFonts w:hint="eastAsia"/>
          <w:szCs w:val="24"/>
        </w:rPr>
        <w:t xml:space="preserve">Pons M, Amoroso R, Sawada K (2024) </w:t>
      </w:r>
      <w:r w:rsidR="00D71C67" w:rsidRPr="00C16467">
        <w:rPr>
          <w:szCs w:val="24"/>
        </w:rPr>
        <w:t>Yield per recruit and spawning biomass per recruit analyses for Splendid Alfonsino (</w:t>
      </w:r>
      <w:r w:rsidR="00D71C67" w:rsidRPr="00C16467">
        <w:rPr>
          <w:i/>
          <w:iCs/>
          <w:szCs w:val="24"/>
        </w:rPr>
        <w:t>Beryx splendens</w:t>
      </w:r>
      <w:r w:rsidR="00D71C67" w:rsidRPr="00C16467">
        <w:rPr>
          <w:szCs w:val="24"/>
        </w:rPr>
        <w:t>) in the North Pacific</w:t>
      </w:r>
      <w:r w:rsidR="007D6777" w:rsidRPr="00C16467">
        <w:rPr>
          <w:rFonts w:hint="eastAsia"/>
          <w:szCs w:val="24"/>
        </w:rPr>
        <w:t xml:space="preserve">. </w:t>
      </w:r>
      <w:r w:rsidR="007D6777" w:rsidRPr="00C16467">
        <w:rPr>
          <w:rFonts w:cs="Times New Roman"/>
          <w:szCs w:val="24"/>
        </w:rPr>
        <w:t>NPFC-2024-SSC BFME05-WP</w:t>
      </w:r>
      <w:r w:rsidR="00C04886">
        <w:rPr>
          <w:rFonts w:cs="Times New Roman"/>
          <w:szCs w:val="24"/>
        </w:rPr>
        <w:t>09</w:t>
      </w:r>
      <w:r w:rsidR="007D6777" w:rsidRPr="00C16467">
        <w:rPr>
          <w:rFonts w:cs="Times New Roman"/>
          <w:szCs w:val="24"/>
        </w:rPr>
        <w:t>.</w:t>
      </w:r>
      <w:r w:rsidR="007D6777" w:rsidRPr="00C16467">
        <w:rPr>
          <w:rFonts w:cs="Times New Roman" w:hint="eastAsia"/>
          <w:szCs w:val="24"/>
        </w:rPr>
        <w:t xml:space="preserve"> 22 </w:t>
      </w:r>
      <w:r w:rsidR="007D6777" w:rsidRPr="00C16467">
        <w:rPr>
          <w:rFonts w:cs="Times New Roman"/>
          <w:szCs w:val="24"/>
        </w:rPr>
        <w:t>pp.</w:t>
      </w:r>
    </w:p>
    <w:p w14:paraId="11E717CD" w14:textId="6988E07F" w:rsidR="008F2909" w:rsidRPr="00C16467" w:rsidRDefault="005F11E1" w:rsidP="008F2909">
      <w:pPr>
        <w:pStyle w:val="Bibliography"/>
        <w:spacing w:after="0"/>
        <w:rPr>
          <w:rFonts w:cs="Times New Roman"/>
          <w:szCs w:val="24"/>
        </w:rPr>
      </w:pPr>
      <w:r w:rsidRPr="00C16467">
        <w:rPr>
          <w:rFonts w:cs="Times New Roman"/>
          <w:szCs w:val="24"/>
        </w:rPr>
        <w:t>Sawada</w:t>
      </w:r>
      <w:r w:rsidR="008F2909" w:rsidRPr="00C16467">
        <w:rPr>
          <w:rFonts w:cs="Times New Roman" w:hint="eastAsia"/>
          <w:szCs w:val="24"/>
        </w:rPr>
        <w:t xml:space="preserve"> K</w:t>
      </w:r>
      <w:r w:rsidRPr="00C16467">
        <w:rPr>
          <w:rFonts w:cs="Times New Roman"/>
          <w:szCs w:val="24"/>
        </w:rPr>
        <w:t xml:space="preserve"> (2023) Small Working Group on NPA and SA - Summary for 2023. NPFC-2023-SSC BFME04-WP09</w:t>
      </w:r>
      <w:r w:rsidR="00A9194C" w:rsidRPr="00C16467">
        <w:rPr>
          <w:rFonts w:cs="Times New Roman" w:hint="eastAsia"/>
          <w:szCs w:val="24"/>
        </w:rPr>
        <w:t>.</w:t>
      </w:r>
      <w:r w:rsidRPr="00C16467">
        <w:rPr>
          <w:rFonts w:cs="Times New Roman"/>
          <w:szCs w:val="24"/>
        </w:rPr>
        <w:t xml:space="preserve"> 4</w:t>
      </w:r>
      <w:r w:rsidR="00775401" w:rsidRPr="00C16467">
        <w:rPr>
          <w:rFonts w:cs="Times New Roman" w:hint="eastAsia"/>
          <w:szCs w:val="24"/>
        </w:rPr>
        <w:t xml:space="preserve"> pp.</w:t>
      </w:r>
    </w:p>
    <w:p w14:paraId="6E599E51" w14:textId="29478EB8" w:rsidR="007C1FA5" w:rsidRPr="00C16467" w:rsidRDefault="007C1FA5" w:rsidP="008F2909">
      <w:pPr>
        <w:pStyle w:val="Bibliography"/>
        <w:spacing w:after="0"/>
        <w:rPr>
          <w:rFonts w:cs="Times New Roman"/>
          <w:szCs w:val="24"/>
        </w:rPr>
      </w:pPr>
      <w:r w:rsidRPr="00C16467">
        <w:rPr>
          <w:rFonts w:cs="Times New Roman"/>
          <w:szCs w:val="24"/>
        </w:rPr>
        <w:t xml:space="preserve">Sawada K </w:t>
      </w:r>
      <w:r w:rsidR="008F2909" w:rsidRPr="00C16467">
        <w:rPr>
          <w:rFonts w:cs="Times New Roman" w:hint="eastAsia"/>
          <w:szCs w:val="24"/>
        </w:rPr>
        <w:t>(</w:t>
      </w:r>
      <w:r w:rsidRPr="00C16467">
        <w:rPr>
          <w:rFonts w:cs="Times New Roman"/>
          <w:szCs w:val="24"/>
        </w:rPr>
        <w:t>2024</w:t>
      </w:r>
      <w:r w:rsidR="008F2909" w:rsidRPr="00C16467">
        <w:rPr>
          <w:rFonts w:cs="Times New Roman" w:hint="eastAsia"/>
          <w:szCs w:val="24"/>
        </w:rPr>
        <w:t>)</w:t>
      </w:r>
      <w:r w:rsidRPr="00C16467">
        <w:rPr>
          <w:rFonts w:cs="Times New Roman"/>
          <w:szCs w:val="24"/>
        </w:rPr>
        <w:t xml:space="preserve"> Reduced fishing effort directed to North Pacific armorhead by Japanese vessels operating in the Emperor Seamount area. NPFC-2024-SSC BFME05-WP</w:t>
      </w:r>
      <w:r w:rsidR="008C06FB">
        <w:rPr>
          <w:rFonts w:cs="Times New Roman"/>
          <w:szCs w:val="24"/>
        </w:rPr>
        <w:t>16</w:t>
      </w:r>
      <w:r w:rsidRPr="00C16467">
        <w:rPr>
          <w:rFonts w:cs="Times New Roman"/>
          <w:szCs w:val="24"/>
        </w:rPr>
        <w:t xml:space="preserve">. </w:t>
      </w:r>
      <w:r w:rsidRPr="00C16467">
        <w:rPr>
          <w:rFonts w:cs="Times New Roman" w:hint="eastAsia"/>
          <w:szCs w:val="24"/>
        </w:rPr>
        <w:t>11</w:t>
      </w:r>
      <w:r w:rsidRPr="00C16467">
        <w:rPr>
          <w:rFonts w:cs="Times New Roman"/>
          <w:szCs w:val="24"/>
        </w:rPr>
        <w:t xml:space="preserve"> pp.</w:t>
      </w:r>
    </w:p>
    <w:p w14:paraId="446D2CA7" w14:textId="2A5C5D19" w:rsidR="005F11E1" w:rsidRPr="00C16467" w:rsidRDefault="005F11E1" w:rsidP="00A9194C">
      <w:pPr>
        <w:pStyle w:val="Bibliography"/>
        <w:spacing w:after="0"/>
        <w:rPr>
          <w:rFonts w:cs="Times New Roman"/>
          <w:szCs w:val="24"/>
        </w:rPr>
      </w:pPr>
      <w:r w:rsidRPr="00C16467">
        <w:rPr>
          <w:rFonts w:cs="Times New Roman"/>
          <w:szCs w:val="24"/>
        </w:rPr>
        <w:t>Sawada K, Nishida K, Yonezaki S, Kiyota M (2017) Application of the directed CPUE method to the multispecies bottom fisheries in the Emperor Seamounts region, for the monitoring of stock status and fishing activity. NPFC-2017-SSC NPA02-WP02 (Rev 1)</w:t>
      </w:r>
      <w:r w:rsidR="00A9194C" w:rsidRPr="00C16467">
        <w:rPr>
          <w:rFonts w:cs="Times New Roman" w:hint="eastAsia"/>
          <w:szCs w:val="24"/>
        </w:rPr>
        <w:t>.</w:t>
      </w:r>
      <w:r w:rsidRPr="00C16467">
        <w:rPr>
          <w:rFonts w:cs="Times New Roman"/>
          <w:szCs w:val="24"/>
        </w:rPr>
        <w:t xml:space="preserve"> 14 pp.</w:t>
      </w:r>
    </w:p>
    <w:p w14:paraId="2B56EE31" w14:textId="199CF81E" w:rsidR="005F11E1" w:rsidRPr="00C16467" w:rsidRDefault="005F11E1" w:rsidP="00A9194C">
      <w:pPr>
        <w:pStyle w:val="Bibliography"/>
        <w:spacing w:after="0"/>
        <w:rPr>
          <w:rFonts w:cs="Times New Roman"/>
          <w:szCs w:val="24"/>
        </w:rPr>
      </w:pPr>
      <w:r w:rsidRPr="00C16467">
        <w:rPr>
          <w:rFonts w:cs="Times New Roman"/>
          <w:szCs w:val="24"/>
        </w:rPr>
        <w:t>Small Scientific Committee on Bottom Fish and Marine Ecosystems (2023) 4th Meeting Report. NPFC-2023-SSC BF-ME04-Final Report</w:t>
      </w:r>
      <w:r w:rsidR="00A9194C" w:rsidRPr="00C16467">
        <w:rPr>
          <w:rFonts w:cs="Times New Roman" w:hint="eastAsia"/>
          <w:szCs w:val="24"/>
        </w:rPr>
        <w:t>.</w:t>
      </w:r>
      <w:r w:rsidRPr="00C16467">
        <w:rPr>
          <w:rFonts w:cs="Times New Roman"/>
          <w:szCs w:val="24"/>
        </w:rPr>
        <w:t>135</w:t>
      </w:r>
      <w:r w:rsidR="00A9194C" w:rsidRPr="00C16467">
        <w:rPr>
          <w:rFonts w:cs="Times New Roman" w:hint="eastAsia"/>
          <w:szCs w:val="24"/>
        </w:rPr>
        <w:t xml:space="preserve"> pp.</w:t>
      </w:r>
    </w:p>
    <w:p w14:paraId="40FC9A61" w14:textId="3B9A69E5" w:rsidR="005F11E1" w:rsidRPr="005F11E1" w:rsidRDefault="005F11E1" w:rsidP="00A9194C">
      <w:pPr>
        <w:pStyle w:val="Bibliography"/>
        <w:spacing w:after="0"/>
        <w:rPr>
          <w:rFonts w:cs="Times New Roman"/>
          <w:sz w:val="21"/>
        </w:rPr>
      </w:pPr>
      <w:r w:rsidRPr="00C16467">
        <w:rPr>
          <w:rFonts w:cs="Times New Roman"/>
          <w:szCs w:val="24"/>
        </w:rPr>
        <w:t>Technical and Compliance Committee (2018) 3rd Meeting Report. NPFC-2018-TCC03-Final Report</w:t>
      </w:r>
      <w:r w:rsidR="00A9194C" w:rsidRPr="00C16467">
        <w:rPr>
          <w:rFonts w:cs="Times New Roman" w:hint="eastAsia"/>
          <w:szCs w:val="24"/>
        </w:rPr>
        <w:t xml:space="preserve">. </w:t>
      </w:r>
      <w:r w:rsidRPr="00C16467">
        <w:rPr>
          <w:rFonts w:cs="Times New Roman"/>
          <w:szCs w:val="24"/>
        </w:rPr>
        <w:t>83</w:t>
      </w:r>
      <w:r w:rsidR="00A9194C" w:rsidRPr="00C16467">
        <w:rPr>
          <w:rFonts w:cs="Times New Roman" w:hint="eastAsia"/>
          <w:szCs w:val="24"/>
        </w:rPr>
        <w:t xml:space="preserve"> pp.</w:t>
      </w:r>
    </w:p>
    <w:p w14:paraId="4AD23498" w14:textId="42856F6D" w:rsidR="00473456" w:rsidRPr="00EE6890" w:rsidRDefault="00473456" w:rsidP="005F11E1">
      <w:pPr>
        <w:rPr>
          <w:rFonts w:cs="Times New Roman"/>
          <w:sz w:val="21"/>
          <w:szCs w:val="21"/>
        </w:rPr>
      </w:pPr>
    </w:p>
    <w:sectPr w:rsidR="00473456" w:rsidRPr="00EE6890" w:rsidSect="00AF0689">
      <w:footerReference w:type="default" r:id="rId9"/>
      <w:headerReference w:type="first" r:id="rId10"/>
      <w:footerReference w:type="first" r:id="rId11"/>
      <w:pgSz w:w="11906" w:h="16838"/>
      <w:pgMar w:top="1701" w:right="1225" w:bottom="1361" w:left="1225" w:header="431" w:footer="1009"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067D2" w14:textId="77777777" w:rsidR="00384D3B" w:rsidRDefault="00384D3B" w:rsidP="001E4075">
      <w:r>
        <w:separator/>
      </w:r>
    </w:p>
  </w:endnote>
  <w:endnote w:type="continuationSeparator" w:id="0">
    <w:p w14:paraId="2FA5AF0C" w14:textId="77777777" w:rsidR="00384D3B" w:rsidRDefault="00384D3B"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902301"/>
      <w:docPartObj>
        <w:docPartGallery w:val="Page Numbers (Bottom of Page)"/>
        <w:docPartUnique/>
      </w:docPartObj>
    </w:sdtPr>
    <w:sdtEndPr>
      <w:rPr>
        <w:noProof/>
      </w:rPr>
    </w:sdtEndPr>
    <w:sdtContent>
      <w:p w14:paraId="1075FF62" w14:textId="02D56EAF" w:rsidR="006335E8" w:rsidRDefault="006335E8">
        <w:pPr>
          <w:pStyle w:val="Footer"/>
          <w:jc w:val="center"/>
        </w:pPr>
        <w:r>
          <w:fldChar w:fldCharType="begin"/>
        </w:r>
        <w:r>
          <w:instrText xml:space="preserve"> PAGE   \* MERGEFORMAT </w:instrText>
        </w:r>
        <w:r>
          <w:fldChar w:fldCharType="separate"/>
        </w:r>
        <w:r w:rsidR="00047241">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D47C8" w14:textId="77777777" w:rsidR="006B4F3E" w:rsidRPr="007520B6" w:rsidRDefault="00BF71DF"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4144"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Hakuyo Hall, </w:t>
                          </w:r>
                        </w:p>
                        <w:p w14:paraId="17B16F9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" filled="f" stroked="f" strokeweight=".5pt">
              <v:textbox style="mso-fit-shape-to-text:t">
                <w:txbxContent>
                  <w:p w14:paraId="0279DA1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Hakuyo Hall, </w:t>
                    </w:r>
                  </w:p>
                  <w:p w14:paraId="17B16F9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6192"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" filled="f" stroked="f" strokeweight=".5pt">
              <v:textbox style="mso-fit-shape-to-text:t">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v:textbox>
              <w10:wrap anchorx="margin"/>
            </v:shape>
          </w:pict>
        </mc:Fallback>
      </mc:AlternateContent>
    </w:r>
    <w:r w:rsidR="00D34FC1">
      <w:rPr>
        <w:noProof/>
        <w:sz w:val="14"/>
        <w:szCs w:val="14"/>
        <w:lang w:eastAsia="en-US"/>
      </w:rPr>
      <mc:AlternateContent>
        <mc:Choice Requires="wpg">
          <w:drawing>
            <wp:anchor distT="0" distB="0" distL="114300" distR="114300" simplePos="0" relativeHeight="251665408"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91ABCC" id="グループ化 19" o:spid="_x0000_s1026" style="position:absolute;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24C96" w14:textId="77777777" w:rsidR="00384D3B" w:rsidRDefault="00384D3B" w:rsidP="001E4075">
      <w:r>
        <w:separator/>
      </w:r>
    </w:p>
  </w:footnote>
  <w:footnote w:type="continuationSeparator" w:id="0">
    <w:p w14:paraId="67D9C5BC" w14:textId="77777777" w:rsidR="00384D3B" w:rsidRDefault="00384D3B"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07625" w14:textId="77777777" w:rsidR="00E207AE" w:rsidRPr="006E6863" w:rsidRDefault="00880204"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" o:allowoverlap="f" filled="f" stroked="f" strokeweight=".5pt">
              <v:textbo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7"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0F42DAD"/>
    <w:multiLevelType w:val="hybridMultilevel"/>
    <w:tmpl w:val="23282E2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04756A"/>
    <w:multiLevelType w:val="hybridMultilevel"/>
    <w:tmpl w:val="77C8B4FA"/>
    <w:lvl w:ilvl="0" w:tplc="0409000F">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207BE"/>
    <w:multiLevelType w:val="hybridMultilevel"/>
    <w:tmpl w:val="64185E64"/>
    <w:lvl w:ilvl="0" w:tplc="13EA55CA">
      <w:numFmt w:val="bullet"/>
      <w:lvlText w:val="•"/>
      <w:lvlJc w:val="left"/>
      <w:pPr>
        <w:ind w:left="420" w:hanging="420"/>
      </w:pPr>
      <w:rPr>
        <w:rFonts w:ascii="Yu Mincho" w:eastAsia="Yu Mincho" w:hAnsi="Yu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7CE427E"/>
    <w:multiLevelType w:val="hybridMultilevel"/>
    <w:tmpl w:val="1F8CB93E"/>
    <w:lvl w:ilvl="0" w:tplc="4508BEC4">
      <w:start w:val="1"/>
      <w:numFmt w:val="upp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C3D5A54"/>
    <w:multiLevelType w:val="hybridMultilevel"/>
    <w:tmpl w:val="F664F828"/>
    <w:lvl w:ilvl="0" w:tplc="13EA55CA">
      <w:numFmt w:val="bullet"/>
      <w:lvlText w:val="•"/>
      <w:lvlJc w:val="left"/>
      <w:pPr>
        <w:ind w:left="1260" w:hanging="420"/>
      </w:pPr>
      <w:rPr>
        <w:rFonts w:ascii="Yu Mincho" w:eastAsia="Yu Mincho" w:hAnsi="Yu Mincho" w:cs="Times New Roman" w:hint="eastAsia"/>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05D7785"/>
    <w:multiLevelType w:val="hybridMultilevel"/>
    <w:tmpl w:val="D966A1DA"/>
    <w:lvl w:ilvl="0" w:tplc="13EA55CA">
      <w:numFmt w:val="bullet"/>
      <w:lvlText w:val="•"/>
      <w:lvlJc w:val="left"/>
      <w:pPr>
        <w:ind w:left="420" w:hanging="420"/>
      </w:pPr>
      <w:rPr>
        <w:rFonts w:ascii="Yu Mincho" w:eastAsia="Yu Mincho" w:hAnsi="Yu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2001A6"/>
    <w:multiLevelType w:val="hybridMultilevel"/>
    <w:tmpl w:val="C48A90E8"/>
    <w:lvl w:ilvl="0" w:tplc="13EA55CA">
      <w:numFmt w:val="bullet"/>
      <w:lvlText w:val="•"/>
      <w:lvlJc w:val="left"/>
      <w:pPr>
        <w:ind w:left="420" w:hanging="420"/>
      </w:pPr>
      <w:rPr>
        <w:rFonts w:ascii="Yu Mincho" w:eastAsia="Yu Mincho" w:hAnsi="Yu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E790100"/>
    <w:multiLevelType w:val="hybridMultilevel"/>
    <w:tmpl w:val="F6688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6A6B5080"/>
    <w:multiLevelType w:val="hybridMultilevel"/>
    <w:tmpl w:val="F4AC02C4"/>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783900AB"/>
    <w:multiLevelType w:val="hybridMultilevel"/>
    <w:tmpl w:val="9280E410"/>
    <w:lvl w:ilvl="0" w:tplc="13EA55CA">
      <w:numFmt w:val="bullet"/>
      <w:lvlText w:val="•"/>
      <w:lvlJc w:val="left"/>
      <w:pPr>
        <w:ind w:left="420" w:hanging="420"/>
      </w:pPr>
      <w:rPr>
        <w:rFonts w:ascii="Yu Mincho" w:eastAsia="Yu Mincho" w:hAnsi="Yu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79BE4093"/>
    <w:multiLevelType w:val="hybridMultilevel"/>
    <w:tmpl w:val="07AE0086"/>
    <w:lvl w:ilvl="0" w:tplc="13EA55CA">
      <w:numFmt w:val="bullet"/>
      <w:lvlText w:val="•"/>
      <w:lvlJc w:val="left"/>
      <w:pPr>
        <w:ind w:left="420" w:hanging="420"/>
      </w:pPr>
      <w:rPr>
        <w:rFonts w:ascii="Yu Mincho" w:eastAsia="Yu Mincho" w:hAnsi="Yu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7FF64BFA"/>
    <w:multiLevelType w:val="multilevel"/>
    <w:tmpl w:val="0409001F"/>
    <w:lvl w:ilvl="0">
      <w:start w:val="1"/>
      <w:numFmt w:val="decimal"/>
      <w:lvlText w:val="%1."/>
      <w:lvlJc w:val="left"/>
      <w:pPr>
        <w:ind w:left="992" w:hanging="425"/>
      </w:pPr>
    </w:lvl>
    <w:lvl w:ilvl="1">
      <w:start w:val="1"/>
      <w:numFmt w:val="decimal"/>
      <w:lvlText w:val="%1.%2."/>
      <w:lvlJc w:val="left"/>
      <w:pPr>
        <w:ind w:left="1134" w:hanging="567"/>
      </w:pPr>
    </w:lvl>
    <w:lvl w:ilvl="2">
      <w:start w:val="1"/>
      <w:numFmt w:val="decimal"/>
      <w:lvlText w:val="%1.%2.%3."/>
      <w:lvlJc w:val="left"/>
      <w:pPr>
        <w:ind w:left="1276" w:hanging="709"/>
      </w:pPr>
    </w:lvl>
    <w:lvl w:ilvl="3">
      <w:start w:val="1"/>
      <w:numFmt w:val="decimal"/>
      <w:lvlText w:val="%1.%2.%3.%4."/>
      <w:lvlJc w:val="left"/>
      <w:pPr>
        <w:ind w:left="1418" w:hanging="851"/>
      </w:pPr>
    </w:lvl>
    <w:lvl w:ilvl="4">
      <w:start w:val="1"/>
      <w:numFmt w:val="decimal"/>
      <w:lvlText w:val="%1.%2.%3.%4.%5."/>
      <w:lvlJc w:val="left"/>
      <w:pPr>
        <w:ind w:left="1559" w:hanging="992"/>
      </w:pPr>
    </w:lvl>
    <w:lvl w:ilvl="5">
      <w:start w:val="1"/>
      <w:numFmt w:val="decimal"/>
      <w:lvlText w:val="%1.%2.%3.%4.%5.%6."/>
      <w:lvlJc w:val="left"/>
      <w:pPr>
        <w:ind w:left="1701" w:hanging="1134"/>
      </w:pPr>
    </w:lvl>
    <w:lvl w:ilvl="6">
      <w:start w:val="1"/>
      <w:numFmt w:val="decimal"/>
      <w:lvlText w:val="%1.%2.%3.%4.%5.%6.%7."/>
      <w:lvlJc w:val="left"/>
      <w:pPr>
        <w:ind w:left="1843" w:hanging="1276"/>
      </w:pPr>
    </w:lvl>
    <w:lvl w:ilvl="7">
      <w:start w:val="1"/>
      <w:numFmt w:val="decimal"/>
      <w:lvlText w:val="%1.%2.%3.%4.%5.%6.%7.%8."/>
      <w:lvlJc w:val="left"/>
      <w:pPr>
        <w:ind w:left="1985" w:hanging="1418"/>
      </w:pPr>
    </w:lvl>
    <w:lvl w:ilvl="8">
      <w:start w:val="1"/>
      <w:numFmt w:val="decimal"/>
      <w:lvlText w:val="%1.%2.%3.%4.%5.%6.%7.%8.%9."/>
      <w:lvlJc w:val="left"/>
      <w:pPr>
        <w:ind w:left="2126" w:hanging="1559"/>
      </w:pPr>
    </w:lvl>
  </w:abstractNum>
  <w:num w:numId="1" w16cid:durableId="1448814092">
    <w:abstractNumId w:val="26"/>
  </w:num>
  <w:num w:numId="2" w16cid:durableId="2068914407">
    <w:abstractNumId w:val="12"/>
  </w:num>
  <w:num w:numId="3" w16cid:durableId="532884501">
    <w:abstractNumId w:val="21"/>
  </w:num>
  <w:num w:numId="4" w16cid:durableId="507722121">
    <w:abstractNumId w:val="5"/>
  </w:num>
  <w:num w:numId="5" w16cid:durableId="1837643427">
    <w:abstractNumId w:val="7"/>
  </w:num>
  <w:num w:numId="6" w16cid:durableId="1998723432">
    <w:abstractNumId w:val="6"/>
  </w:num>
  <w:num w:numId="7" w16cid:durableId="1237589346">
    <w:abstractNumId w:val="18"/>
  </w:num>
  <w:num w:numId="8" w16cid:durableId="18313565">
    <w:abstractNumId w:val="15"/>
  </w:num>
  <w:num w:numId="9" w16cid:durableId="1830635397">
    <w:abstractNumId w:val="3"/>
  </w:num>
  <w:num w:numId="10" w16cid:durableId="916985753">
    <w:abstractNumId w:val="0"/>
  </w:num>
  <w:num w:numId="11" w16cid:durableId="1669092063">
    <w:abstractNumId w:val="13"/>
  </w:num>
  <w:num w:numId="12" w16cid:durableId="373316041">
    <w:abstractNumId w:val="14"/>
  </w:num>
  <w:num w:numId="13" w16cid:durableId="448743129">
    <w:abstractNumId w:val="19"/>
  </w:num>
  <w:num w:numId="14" w16cid:durableId="218370200">
    <w:abstractNumId w:val="24"/>
  </w:num>
  <w:num w:numId="15" w16cid:durableId="1881698920">
    <w:abstractNumId w:val="27"/>
  </w:num>
  <w:num w:numId="16" w16cid:durableId="288126703">
    <w:abstractNumId w:val="22"/>
  </w:num>
  <w:num w:numId="17" w16cid:durableId="2035229811">
    <w:abstractNumId w:val="10"/>
  </w:num>
  <w:num w:numId="18" w16cid:durableId="1876036002">
    <w:abstractNumId w:val="2"/>
  </w:num>
  <w:num w:numId="19" w16cid:durableId="283082131">
    <w:abstractNumId w:val="20"/>
  </w:num>
  <w:num w:numId="20" w16cid:durableId="821965593">
    <w:abstractNumId w:val="8"/>
  </w:num>
  <w:num w:numId="21" w16cid:durableId="2068988433">
    <w:abstractNumId w:val="16"/>
  </w:num>
  <w:num w:numId="22" w16cid:durableId="717582798">
    <w:abstractNumId w:val="4"/>
  </w:num>
  <w:num w:numId="23" w16cid:durableId="680081938">
    <w:abstractNumId w:val="25"/>
  </w:num>
  <w:num w:numId="24" w16cid:durableId="247540368">
    <w:abstractNumId w:val="23"/>
  </w:num>
  <w:num w:numId="25" w16cid:durableId="1128888184">
    <w:abstractNumId w:val="11"/>
  </w:num>
  <w:num w:numId="26" w16cid:durableId="104229879">
    <w:abstractNumId w:val="9"/>
  </w:num>
  <w:num w:numId="27" w16cid:durableId="2034644656">
    <w:abstractNumId w:val="1"/>
  </w:num>
  <w:num w:numId="28" w16cid:durableId="507522448">
    <w:abstractNumId w:val="28"/>
  </w:num>
  <w:num w:numId="29" w16cid:durableId="6236594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234C6"/>
    <w:rsid w:val="00027A27"/>
    <w:rsid w:val="00027A77"/>
    <w:rsid w:val="00041374"/>
    <w:rsid w:val="00047241"/>
    <w:rsid w:val="00051EE5"/>
    <w:rsid w:val="0005251C"/>
    <w:rsid w:val="000529C5"/>
    <w:rsid w:val="0005577E"/>
    <w:rsid w:val="00062AA4"/>
    <w:rsid w:val="000704A8"/>
    <w:rsid w:val="000812D0"/>
    <w:rsid w:val="00083416"/>
    <w:rsid w:val="000834EC"/>
    <w:rsid w:val="00083BAA"/>
    <w:rsid w:val="00091A0B"/>
    <w:rsid w:val="00094724"/>
    <w:rsid w:val="000A28F6"/>
    <w:rsid w:val="000B2BF8"/>
    <w:rsid w:val="000C1865"/>
    <w:rsid w:val="000C4519"/>
    <w:rsid w:val="000C4520"/>
    <w:rsid w:val="000D1100"/>
    <w:rsid w:val="000D1AEF"/>
    <w:rsid w:val="000E0E19"/>
    <w:rsid w:val="000F101D"/>
    <w:rsid w:val="000F6362"/>
    <w:rsid w:val="000F6730"/>
    <w:rsid w:val="00101045"/>
    <w:rsid w:val="0012011D"/>
    <w:rsid w:val="0012771E"/>
    <w:rsid w:val="00127FE8"/>
    <w:rsid w:val="001304E5"/>
    <w:rsid w:val="00143A77"/>
    <w:rsid w:val="001570D0"/>
    <w:rsid w:val="001625F3"/>
    <w:rsid w:val="0016564E"/>
    <w:rsid w:val="00166A4A"/>
    <w:rsid w:val="00174B55"/>
    <w:rsid w:val="00176E45"/>
    <w:rsid w:val="001858A3"/>
    <w:rsid w:val="001901CC"/>
    <w:rsid w:val="00191234"/>
    <w:rsid w:val="00195601"/>
    <w:rsid w:val="001A5E59"/>
    <w:rsid w:val="001B0287"/>
    <w:rsid w:val="001C4F0E"/>
    <w:rsid w:val="001D4992"/>
    <w:rsid w:val="001E4075"/>
    <w:rsid w:val="001E5FD1"/>
    <w:rsid w:val="001F094D"/>
    <w:rsid w:val="001F2C3C"/>
    <w:rsid w:val="001F4C9E"/>
    <w:rsid w:val="00201213"/>
    <w:rsid w:val="00201F5C"/>
    <w:rsid w:val="0020754A"/>
    <w:rsid w:val="00211732"/>
    <w:rsid w:val="002170D9"/>
    <w:rsid w:val="00225365"/>
    <w:rsid w:val="002360AA"/>
    <w:rsid w:val="002450F2"/>
    <w:rsid w:val="00245B12"/>
    <w:rsid w:val="00254CE4"/>
    <w:rsid w:val="002614BE"/>
    <w:rsid w:val="0026154C"/>
    <w:rsid w:val="00261FF7"/>
    <w:rsid w:val="002849D6"/>
    <w:rsid w:val="00293260"/>
    <w:rsid w:val="0029554A"/>
    <w:rsid w:val="002A12A6"/>
    <w:rsid w:val="002B5DE4"/>
    <w:rsid w:val="002E6611"/>
    <w:rsid w:val="002F0598"/>
    <w:rsid w:val="002F7F3C"/>
    <w:rsid w:val="00312BCE"/>
    <w:rsid w:val="0031761D"/>
    <w:rsid w:val="00321065"/>
    <w:rsid w:val="003263BC"/>
    <w:rsid w:val="0032691E"/>
    <w:rsid w:val="0033314B"/>
    <w:rsid w:val="00335600"/>
    <w:rsid w:val="00335B8B"/>
    <w:rsid w:val="00356C4C"/>
    <w:rsid w:val="00360AF4"/>
    <w:rsid w:val="00364575"/>
    <w:rsid w:val="00384D3B"/>
    <w:rsid w:val="003A2FCD"/>
    <w:rsid w:val="003A6785"/>
    <w:rsid w:val="003B2C17"/>
    <w:rsid w:val="003B6376"/>
    <w:rsid w:val="003C2F8A"/>
    <w:rsid w:val="003C3DEF"/>
    <w:rsid w:val="003D7807"/>
    <w:rsid w:val="003E018F"/>
    <w:rsid w:val="003E738D"/>
    <w:rsid w:val="00401E37"/>
    <w:rsid w:val="00414EF3"/>
    <w:rsid w:val="00415841"/>
    <w:rsid w:val="00420F92"/>
    <w:rsid w:val="0042324B"/>
    <w:rsid w:val="004241C4"/>
    <w:rsid w:val="00430D46"/>
    <w:rsid w:val="0043520B"/>
    <w:rsid w:val="00435799"/>
    <w:rsid w:val="00443D62"/>
    <w:rsid w:val="00444390"/>
    <w:rsid w:val="00446F32"/>
    <w:rsid w:val="0046235F"/>
    <w:rsid w:val="00465A0C"/>
    <w:rsid w:val="00471E96"/>
    <w:rsid w:val="00473456"/>
    <w:rsid w:val="0047355B"/>
    <w:rsid w:val="00483C8A"/>
    <w:rsid w:val="0049430B"/>
    <w:rsid w:val="004B1158"/>
    <w:rsid w:val="004B3FEA"/>
    <w:rsid w:val="004C5B88"/>
    <w:rsid w:val="004D2A57"/>
    <w:rsid w:val="004F59AF"/>
    <w:rsid w:val="00520457"/>
    <w:rsid w:val="00523657"/>
    <w:rsid w:val="00530EA7"/>
    <w:rsid w:val="00533777"/>
    <w:rsid w:val="005363DF"/>
    <w:rsid w:val="00544511"/>
    <w:rsid w:val="00546F75"/>
    <w:rsid w:val="00551342"/>
    <w:rsid w:val="00552ACE"/>
    <w:rsid w:val="00554989"/>
    <w:rsid w:val="00562AA4"/>
    <w:rsid w:val="00577519"/>
    <w:rsid w:val="00583395"/>
    <w:rsid w:val="00591EC0"/>
    <w:rsid w:val="005A3657"/>
    <w:rsid w:val="005B1253"/>
    <w:rsid w:val="005C3C1B"/>
    <w:rsid w:val="005E0EAF"/>
    <w:rsid w:val="005F11E1"/>
    <w:rsid w:val="005F1365"/>
    <w:rsid w:val="005F4B0A"/>
    <w:rsid w:val="005F5E54"/>
    <w:rsid w:val="005F703D"/>
    <w:rsid w:val="00603638"/>
    <w:rsid w:val="00605A3A"/>
    <w:rsid w:val="00612990"/>
    <w:rsid w:val="0061618C"/>
    <w:rsid w:val="006216E3"/>
    <w:rsid w:val="00623D6F"/>
    <w:rsid w:val="006335E8"/>
    <w:rsid w:val="00634943"/>
    <w:rsid w:val="0064427A"/>
    <w:rsid w:val="006454D3"/>
    <w:rsid w:val="00646604"/>
    <w:rsid w:val="006506EC"/>
    <w:rsid w:val="006563AE"/>
    <w:rsid w:val="00665088"/>
    <w:rsid w:val="00667968"/>
    <w:rsid w:val="00672281"/>
    <w:rsid w:val="006805D6"/>
    <w:rsid w:val="00681ADA"/>
    <w:rsid w:val="0068686A"/>
    <w:rsid w:val="006915B1"/>
    <w:rsid w:val="006A33EB"/>
    <w:rsid w:val="006A7E7C"/>
    <w:rsid w:val="006B4F3E"/>
    <w:rsid w:val="006B5978"/>
    <w:rsid w:val="006C365C"/>
    <w:rsid w:val="006D5D85"/>
    <w:rsid w:val="006D6DCA"/>
    <w:rsid w:val="006E6863"/>
    <w:rsid w:val="006F6AFA"/>
    <w:rsid w:val="00702A3B"/>
    <w:rsid w:val="00706704"/>
    <w:rsid w:val="00710CC4"/>
    <w:rsid w:val="00711242"/>
    <w:rsid w:val="00712C20"/>
    <w:rsid w:val="007176E2"/>
    <w:rsid w:val="007372CE"/>
    <w:rsid w:val="0074396C"/>
    <w:rsid w:val="007520B6"/>
    <w:rsid w:val="007543D8"/>
    <w:rsid w:val="00762BF6"/>
    <w:rsid w:val="0077037B"/>
    <w:rsid w:val="00770C12"/>
    <w:rsid w:val="00772DD1"/>
    <w:rsid w:val="00775401"/>
    <w:rsid w:val="00775609"/>
    <w:rsid w:val="007853FD"/>
    <w:rsid w:val="00792CFB"/>
    <w:rsid w:val="00797B8B"/>
    <w:rsid w:val="007A0BF5"/>
    <w:rsid w:val="007B09F9"/>
    <w:rsid w:val="007B0EC6"/>
    <w:rsid w:val="007C1FA5"/>
    <w:rsid w:val="007C4859"/>
    <w:rsid w:val="007C6978"/>
    <w:rsid w:val="007D0D99"/>
    <w:rsid w:val="007D64C7"/>
    <w:rsid w:val="007D6777"/>
    <w:rsid w:val="007E50DD"/>
    <w:rsid w:val="007F0847"/>
    <w:rsid w:val="007F4819"/>
    <w:rsid w:val="0080301E"/>
    <w:rsid w:val="008076E2"/>
    <w:rsid w:val="00811C50"/>
    <w:rsid w:val="00815417"/>
    <w:rsid w:val="00824B2F"/>
    <w:rsid w:val="00836922"/>
    <w:rsid w:val="00852218"/>
    <w:rsid w:val="0085242C"/>
    <w:rsid w:val="0085362F"/>
    <w:rsid w:val="00853662"/>
    <w:rsid w:val="00860E97"/>
    <w:rsid w:val="008669D8"/>
    <w:rsid w:val="00871C19"/>
    <w:rsid w:val="00880204"/>
    <w:rsid w:val="00880A8A"/>
    <w:rsid w:val="008832D9"/>
    <w:rsid w:val="008874B2"/>
    <w:rsid w:val="00897EF1"/>
    <w:rsid w:val="008A6D85"/>
    <w:rsid w:val="008B4264"/>
    <w:rsid w:val="008B501E"/>
    <w:rsid w:val="008C06FB"/>
    <w:rsid w:val="008C08D0"/>
    <w:rsid w:val="008D44EB"/>
    <w:rsid w:val="008D6DC9"/>
    <w:rsid w:val="008E3D44"/>
    <w:rsid w:val="008E53C8"/>
    <w:rsid w:val="008F2909"/>
    <w:rsid w:val="008F3F0B"/>
    <w:rsid w:val="0090171B"/>
    <w:rsid w:val="00905F3E"/>
    <w:rsid w:val="00921C3E"/>
    <w:rsid w:val="00923FC6"/>
    <w:rsid w:val="0095086A"/>
    <w:rsid w:val="00952D36"/>
    <w:rsid w:val="00954FAA"/>
    <w:rsid w:val="00975758"/>
    <w:rsid w:val="0098034E"/>
    <w:rsid w:val="00985457"/>
    <w:rsid w:val="00986583"/>
    <w:rsid w:val="009940EF"/>
    <w:rsid w:val="009A42A3"/>
    <w:rsid w:val="009B791A"/>
    <w:rsid w:val="009C5E77"/>
    <w:rsid w:val="009D1AF4"/>
    <w:rsid w:val="009D2089"/>
    <w:rsid w:val="009E00BA"/>
    <w:rsid w:val="009E0E33"/>
    <w:rsid w:val="009E44B4"/>
    <w:rsid w:val="009F460E"/>
    <w:rsid w:val="009F4D55"/>
    <w:rsid w:val="009F5C23"/>
    <w:rsid w:val="00A00214"/>
    <w:rsid w:val="00A046CE"/>
    <w:rsid w:val="00A12701"/>
    <w:rsid w:val="00A155CC"/>
    <w:rsid w:val="00A17943"/>
    <w:rsid w:val="00A20246"/>
    <w:rsid w:val="00A20DB8"/>
    <w:rsid w:val="00A347F4"/>
    <w:rsid w:val="00A37CDC"/>
    <w:rsid w:val="00A41662"/>
    <w:rsid w:val="00A423E7"/>
    <w:rsid w:val="00A45444"/>
    <w:rsid w:val="00A55FC4"/>
    <w:rsid w:val="00A61344"/>
    <w:rsid w:val="00A74558"/>
    <w:rsid w:val="00A75CFB"/>
    <w:rsid w:val="00A761FD"/>
    <w:rsid w:val="00A7704B"/>
    <w:rsid w:val="00A90A6E"/>
    <w:rsid w:val="00A9194C"/>
    <w:rsid w:val="00AA678F"/>
    <w:rsid w:val="00AB35C4"/>
    <w:rsid w:val="00AB5C85"/>
    <w:rsid w:val="00AC40DD"/>
    <w:rsid w:val="00AC6A21"/>
    <w:rsid w:val="00AF0689"/>
    <w:rsid w:val="00B000B0"/>
    <w:rsid w:val="00B06CF8"/>
    <w:rsid w:val="00B128A6"/>
    <w:rsid w:val="00B13E26"/>
    <w:rsid w:val="00B14F50"/>
    <w:rsid w:val="00B238D4"/>
    <w:rsid w:val="00B33DAB"/>
    <w:rsid w:val="00B46C6B"/>
    <w:rsid w:val="00B640C8"/>
    <w:rsid w:val="00B712BB"/>
    <w:rsid w:val="00B8528B"/>
    <w:rsid w:val="00B86190"/>
    <w:rsid w:val="00BA2081"/>
    <w:rsid w:val="00BB0D9B"/>
    <w:rsid w:val="00BB18A0"/>
    <w:rsid w:val="00BB1FD8"/>
    <w:rsid w:val="00BB5E3D"/>
    <w:rsid w:val="00BC04CD"/>
    <w:rsid w:val="00BC1B5D"/>
    <w:rsid w:val="00BD62A1"/>
    <w:rsid w:val="00BF6A19"/>
    <w:rsid w:val="00BF71DF"/>
    <w:rsid w:val="00C008BC"/>
    <w:rsid w:val="00C00CCE"/>
    <w:rsid w:val="00C04886"/>
    <w:rsid w:val="00C06A96"/>
    <w:rsid w:val="00C10A77"/>
    <w:rsid w:val="00C12023"/>
    <w:rsid w:val="00C14231"/>
    <w:rsid w:val="00C16467"/>
    <w:rsid w:val="00C16FA8"/>
    <w:rsid w:val="00C23BD5"/>
    <w:rsid w:val="00C25512"/>
    <w:rsid w:val="00C31900"/>
    <w:rsid w:val="00C412AE"/>
    <w:rsid w:val="00C50E07"/>
    <w:rsid w:val="00C550E5"/>
    <w:rsid w:val="00C64D02"/>
    <w:rsid w:val="00C70F6D"/>
    <w:rsid w:val="00C83C38"/>
    <w:rsid w:val="00C922BD"/>
    <w:rsid w:val="00C9489C"/>
    <w:rsid w:val="00C95C75"/>
    <w:rsid w:val="00C961A2"/>
    <w:rsid w:val="00CA0003"/>
    <w:rsid w:val="00CA08CC"/>
    <w:rsid w:val="00CA76B5"/>
    <w:rsid w:val="00CC48E0"/>
    <w:rsid w:val="00CD3563"/>
    <w:rsid w:val="00CE36AD"/>
    <w:rsid w:val="00CF2827"/>
    <w:rsid w:val="00D109E8"/>
    <w:rsid w:val="00D1153E"/>
    <w:rsid w:val="00D31D54"/>
    <w:rsid w:val="00D33F8C"/>
    <w:rsid w:val="00D34FC1"/>
    <w:rsid w:val="00D37AB9"/>
    <w:rsid w:val="00D42168"/>
    <w:rsid w:val="00D46558"/>
    <w:rsid w:val="00D46887"/>
    <w:rsid w:val="00D50337"/>
    <w:rsid w:val="00D503E4"/>
    <w:rsid w:val="00D57FE5"/>
    <w:rsid w:val="00D60310"/>
    <w:rsid w:val="00D62613"/>
    <w:rsid w:val="00D71C67"/>
    <w:rsid w:val="00D80EA3"/>
    <w:rsid w:val="00D856B5"/>
    <w:rsid w:val="00D932AB"/>
    <w:rsid w:val="00D97D2A"/>
    <w:rsid w:val="00DA2D56"/>
    <w:rsid w:val="00DA7754"/>
    <w:rsid w:val="00DD0BC0"/>
    <w:rsid w:val="00DE033A"/>
    <w:rsid w:val="00DF1F3C"/>
    <w:rsid w:val="00DF5C9D"/>
    <w:rsid w:val="00E035CF"/>
    <w:rsid w:val="00E1367A"/>
    <w:rsid w:val="00E1388A"/>
    <w:rsid w:val="00E16415"/>
    <w:rsid w:val="00E17A80"/>
    <w:rsid w:val="00E207AE"/>
    <w:rsid w:val="00E361BE"/>
    <w:rsid w:val="00E50424"/>
    <w:rsid w:val="00E54621"/>
    <w:rsid w:val="00E547C8"/>
    <w:rsid w:val="00E5555A"/>
    <w:rsid w:val="00E575D4"/>
    <w:rsid w:val="00E741FB"/>
    <w:rsid w:val="00E75415"/>
    <w:rsid w:val="00E8004D"/>
    <w:rsid w:val="00E8413E"/>
    <w:rsid w:val="00E91E89"/>
    <w:rsid w:val="00EA6A77"/>
    <w:rsid w:val="00EC6179"/>
    <w:rsid w:val="00EE5D77"/>
    <w:rsid w:val="00EE6890"/>
    <w:rsid w:val="00EE7D28"/>
    <w:rsid w:val="00EF1D82"/>
    <w:rsid w:val="00EF6ECA"/>
    <w:rsid w:val="00F016D2"/>
    <w:rsid w:val="00F01870"/>
    <w:rsid w:val="00F07905"/>
    <w:rsid w:val="00F2083E"/>
    <w:rsid w:val="00F30BA9"/>
    <w:rsid w:val="00F32B7D"/>
    <w:rsid w:val="00F37F7B"/>
    <w:rsid w:val="00F541FE"/>
    <w:rsid w:val="00F56E9B"/>
    <w:rsid w:val="00F658B7"/>
    <w:rsid w:val="00F71DE4"/>
    <w:rsid w:val="00F741B4"/>
    <w:rsid w:val="00F93F2C"/>
    <w:rsid w:val="00F9558E"/>
    <w:rsid w:val="00FB7FC2"/>
    <w:rsid w:val="00FC04AA"/>
    <w:rsid w:val="00FC45CC"/>
    <w:rsid w:val="00FC4A29"/>
    <w:rsid w:val="00FD0F7A"/>
    <w:rsid w:val="00FD2C0B"/>
    <w:rsid w:val="00FD56B6"/>
    <w:rsid w:val="00FD7BC4"/>
    <w:rsid w:val="00FE731D"/>
    <w:rsid w:val="00FF6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4D0C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1">
    <w:name w:val="未解決のメンション1"/>
    <w:basedOn w:val="DefaultParagraphFont"/>
    <w:uiPriority w:val="99"/>
    <w:semiHidden/>
    <w:unhideWhenUsed/>
    <w:rsid w:val="00D34FC1"/>
    <w:rPr>
      <w:color w:val="808080"/>
      <w:shd w:val="clear" w:color="auto" w:fill="E6E6E6"/>
    </w:rPr>
  </w:style>
  <w:style w:type="paragraph" w:styleId="Bibliography">
    <w:name w:val="Bibliography"/>
    <w:basedOn w:val="Normal"/>
    <w:next w:val="Normal"/>
    <w:uiPriority w:val="37"/>
    <w:unhideWhenUsed/>
    <w:rsid w:val="0032691E"/>
    <w:pPr>
      <w:spacing w:after="240"/>
      <w:ind w:left="720" w:hanging="720"/>
    </w:pPr>
  </w:style>
  <w:style w:type="paragraph" w:styleId="Revision">
    <w:name w:val="Revision"/>
    <w:hidden/>
    <w:uiPriority w:val="99"/>
    <w:semiHidden/>
    <w:rsid w:val="00583395"/>
    <w:rPr>
      <w:rFonts w:ascii="Times New Roman" w:hAnsi="Times New Roman"/>
      <w:sz w:val="24"/>
    </w:rPr>
  </w:style>
  <w:style w:type="table" w:styleId="GridTable1Light">
    <w:name w:val="Grid Table 1 Light"/>
    <w:basedOn w:val="TableNormal"/>
    <w:uiPriority w:val="46"/>
    <w:rsid w:val="006A7E7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49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FA2AF-030F-428C-BF8D-25F2E3743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1275</Words>
  <Characters>7274</Characters>
  <Application>Microsoft Office Word</Application>
  <DocSecurity>0</DocSecurity>
  <Lines>60</Lines>
  <Paragraphs>17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Aleksandr Zavolokin</cp:lastModifiedBy>
  <cp:revision>9</cp:revision>
  <cp:lastPrinted>2017-09-04T06:52:00Z</cp:lastPrinted>
  <dcterms:created xsi:type="dcterms:W3CDTF">2024-11-09T02:06:00Z</dcterms:created>
  <dcterms:modified xsi:type="dcterms:W3CDTF">2024-11-10T05:17:00Z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zotero-version="7.0.9"&gt;&lt;session id="rounflHD"/&gt;&lt;style id="http://www.zotero.org/styles/springer-basic-author-date-no-et-al-with-issue" hasBibliography="1" bibliographyStyleHasBeenSet="1"/&gt;&lt;prefs&gt;&lt;pref name="fieldType" value="Field"/</vt:lpwstr>
  </property>
  <property fmtid="{D5CDD505-2E9C-101B-9397-08002B2CF9AE}" pid="3" name="ZOTERO_PREF_2">
    <vt:lpwstr>&gt;&lt;/prefs&gt;&lt;/data&gt;</vt:lpwstr>
  </property>
</Properties>
</file>