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F55F" w14:textId="7C46E87C" w:rsidR="00BB00EF" w:rsidRDefault="00EF1D5C" w:rsidP="00460CDD">
      <w:pPr>
        <w:spacing w:before="240"/>
        <w:jc w:val="right"/>
      </w:pPr>
      <w:r w:rsidRPr="00EF1D5C">
        <w:t>NPFC-202</w:t>
      </w:r>
      <w:r w:rsidR="005829D1">
        <w:t>5</w:t>
      </w:r>
      <w:r w:rsidRPr="00EF1D5C">
        <w:t>-</w:t>
      </w:r>
      <w:r w:rsidR="0091165C">
        <w:t>SSC BF-ME0</w:t>
      </w:r>
      <w:r w:rsidR="005829D1">
        <w:t>6</w:t>
      </w:r>
      <w:r w:rsidR="00E16A5A">
        <w:t>-</w:t>
      </w:r>
      <w:r w:rsidR="0091165C">
        <w:t>WP</w:t>
      </w:r>
      <w:r w:rsidR="000B3DFE">
        <w:t>09</w:t>
      </w:r>
    </w:p>
    <w:p w14:paraId="68D13551" w14:textId="77777777" w:rsidR="00460CDD" w:rsidRDefault="00460CDD" w:rsidP="00460CDD">
      <w:pPr>
        <w:jc w:val="center"/>
        <w:rPr>
          <w:rFonts w:eastAsia="Times New Roman" w:cs="Times New Roman"/>
          <w:b/>
          <w:szCs w:val="24"/>
        </w:rPr>
      </w:pPr>
    </w:p>
    <w:p w14:paraId="1F48224D" w14:textId="088B7341" w:rsidR="00460CDD" w:rsidRDefault="00460CDD" w:rsidP="00460CDD">
      <w:pPr>
        <w:jc w:val="center"/>
        <w:rPr>
          <w:rFonts w:eastAsia="Times New Roman" w:cs="Times New Roman"/>
          <w:b/>
          <w:szCs w:val="24"/>
        </w:rPr>
      </w:pPr>
      <w:r>
        <w:rPr>
          <w:rFonts w:eastAsia="Times New Roman" w:cs="Times New Roman"/>
          <w:b/>
          <w:szCs w:val="24"/>
        </w:rPr>
        <w:t>U.S. Delegation Paper on Bottom Fishing and Emperor Seamounts</w:t>
      </w:r>
    </w:p>
    <w:p w14:paraId="2D58ACA8" w14:textId="3A7F5331" w:rsidR="00460CDD" w:rsidRDefault="005829D1" w:rsidP="00460CDD">
      <w:pPr>
        <w:jc w:val="center"/>
        <w:rPr>
          <w:rFonts w:eastAsia="Times New Roman" w:cs="Times New Roman"/>
          <w:b/>
          <w:szCs w:val="24"/>
        </w:rPr>
      </w:pPr>
      <w:r>
        <w:rPr>
          <w:rFonts w:eastAsia="Times New Roman" w:cs="Times New Roman"/>
          <w:b/>
          <w:szCs w:val="24"/>
        </w:rPr>
        <w:t>6</w:t>
      </w:r>
      <w:r w:rsidR="00460CDD">
        <w:rPr>
          <w:rFonts w:eastAsia="Times New Roman" w:cs="Times New Roman"/>
          <w:b/>
          <w:szCs w:val="24"/>
          <w:vertAlign w:val="superscript"/>
        </w:rPr>
        <w:t>th</w:t>
      </w:r>
      <w:r w:rsidR="00460CDD">
        <w:rPr>
          <w:rFonts w:eastAsia="Times New Roman" w:cs="Times New Roman"/>
          <w:b/>
          <w:szCs w:val="24"/>
        </w:rPr>
        <w:t xml:space="preserve"> SSC BF-ME</w:t>
      </w:r>
    </w:p>
    <w:p w14:paraId="3DE463DA" w14:textId="77777777" w:rsidR="00460CDD" w:rsidRDefault="00460CDD" w:rsidP="00460CDD">
      <w:pPr>
        <w:rPr>
          <w:rFonts w:eastAsia="Times New Roman" w:cs="Times New Roman"/>
          <w:szCs w:val="24"/>
        </w:rPr>
      </w:pPr>
    </w:p>
    <w:p w14:paraId="7DD76C39" w14:textId="77777777" w:rsidR="00460CDD" w:rsidRDefault="00460CDD" w:rsidP="00460CDD">
      <w:pPr>
        <w:rPr>
          <w:rFonts w:eastAsia="Times New Roman" w:cs="Times New Roman"/>
          <w:szCs w:val="24"/>
        </w:rPr>
      </w:pPr>
      <w:r>
        <w:rPr>
          <w:rFonts w:eastAsia="Times New Roman" w:cs="Times New Roman"/>
          <w:szCs w:val="24"/>
        </w:rPr>
        <w:t>The United States and Canada submitted a proposal to revise CMM 2023-05 at the 8th Meeting of the North Pacific Fisheries Commission in 2024.  The United States appreciates the Commission’s adoption of a revised version of that proposal that strengthened the measure’s management framework, clarified its drafting, established binding catch limits, and extended the seasonal fisheries closure by one month.</w:t>
      </w:r>
    </w:p>
    <w:p w14:paraId="4C5FB23B" w14:textId="77777777" w:rsidR="00460CDD" w:rsidRDefault="00460CDD" w:rsidP="00460CDD">
      <w:pPr>
        <w:rPr>
          <w:rFonts w:eastAsia="Times New Roman" w:cs="Times New Roman"/>
          <w:szCs w:val="24"/>
        </w:rPr>
      </w:pPr>
    </w:p>
    <w:p w14:paraId="0E454E17" w14:textId="52B7D5E6" w:rsidR="00460CDD" w:rsidRDefault="00460CDD" w:rsidP="00460CDD">
      <w:pPr>
        <w:rPr>
          <w:rFonts w:eastAsia="Times New Roman" w:cs="Times New Roman"/>
          <w:szCs w:val="24"/>
        </w:rPr>
      </w:pPr>
      <w:r>
        <w:rPr>
          <w:rFonts w:eastAsia="Times New Roman" w:cs="Times New Roman"/>
          <w:szCs w:val="24"/>
        </w:rPr>
        <w:t xml:space="preserve">The Commission did not reach consensus on at least one significant aspect of that proposal:  precautionary temporary closures of fisheries targeting certain deep-sea stocks or at risk of interacting with benthic habitats with vulnerable marine ecosystems, while additional scientific work is undertaken to ensure that fishing is conducted in a sustainable manner.  Some Members stated they did not have adequate time to consider the U.S. proposal at the 8th Meeting of the Scientific Committee in 2023 or a mandate to agree to it at the Commission in 2024. Members and stakeholders have now had another full year to consider additional closures and the rationale for them as </w:t>
      </w:r>
      <w:r w:rsidR="005829D1">
        <w:rPr>
          <w:rFonts w:eastAsia="Times New Roman" w:cs="Times New Roman"/>
          <w:szCs w:val="24"/>
        </w:rPr>
        <w:t xml:space="preserve">previously </w:t>
      </w:r>
      <w:r>
        <w:rPr>
          <w:rFonts w:eastAsia="Times New Roman" w:cs="Times New Roman"/>
          <w:szCs w:val="24"/>
        </w:rPr>
        <w:t xml:space="preserve">articulated.   </w:t>
      </w:r>
    </w:p>
    <w:p w14:paraId="13D174DE" w14:textId="77777777" w:rsidR="00460CDD" w:rsidRDefault="00460CDD" w:rsidP="00460CDD">
      <w:pPr>
        <w:rPr>
          <w:rFonts w:eastAsia="Times New Roman" w:cs="Times New Roman"/>
          <w:szCs w:val="24"/>
        </w:rPr>
      </w:pPr>
    </w:p>
    <w:p w14:paraId="657D1813" w14:textId="77777777" w:rsidR="00460CDD" w:rsidRDefault="00460CDD" w:rsidP="00460CDD">
      <w:pPr>
        <w:rPr>
          <w:rFonts w:eastAsia="Times New Roman" w:cs="Times New Roman"/>
          <w:szCs w:val="24"/>
        </w:rPr>
      </w:pPr>
      <w:r>
        <w:rPr>
          <w:rFonts w:eastAsia="Times New Roman" w:cs="Times New Roman"/>
          <w:szCs w:val="24"/>
        </w:rPr>
        <w:t>The SC and the Commission should consider additional temporal and spatial closures to ensure that additional scientific work is completed before authorizing continued bottom fishing activities that pose the greatest risk to VMEs or the long-term sustainability of stocks. The United States believes this is justified for several reasons:</w:t>
      </w:r>
    </w:p>
    <w:p w14:paraId="0B119049" w14:textId="77777777" w:rsidR="00460CDD" w:rsidRDefault="00460CDD" w:rsidP="00460CDD">
      <w:pPr>
        <w:widowControl/>
        <w:numPr>
          <w:ilvl w:val="0"/>
          <w:numId w:val="19"/>
        </w:numPr>
        <w:pBdr>
          <w:top w:val="nil"/>
          <w:left w:val="nil"/>
          <w:bottom w:val="nil"/>
          <w:right w:val="nil"/>
          <w:between w:val="nil"/>
        </w:pBdr>
        <w:spacing w:line="259" w:lineRule="auto"/>
        <w:jc w:val="left"/>
        <w:rPr>
          <w:rFonts w:eastAsia="Times New Roman" w:cs="Times New Roman"/>
          <w:color w:val="000000"/>
          <w:szCs w:val="24"/>
        </w:rPr>
      </w:pPr>
      <w:r>
        <w:rPr>
          <w:rFonts w:eastAsia="Times New Roman" w:cs="Times New Roman"/>
          <w:color w:val="000000"/>
          <w:szCs w:val="24"/>
        </w:rPr>
        <w:t>Impact assessments o</w:t>
      </w:r>
      <w:r>
        <w:rPr>
          <w:rFonts w:eastAsia="Times New Roman" w:cs="Times New Roman"/>
          <w:szCs w:val="24"/>
        </w:rPr>
        <w:t>f</w:t>
      </w:r>
      <w:r>
        <w:rPr>
          <w:rFonts w:eastAsia="Times New Roman" w:cs="Times New Roman"/>
          <w:color w:val="000000"/>
          <w:szCs w:val="24"/>
        </w:rPr>
        <w:t xml:space="preserve"> Members</w:t>
      </w:r>
      <w:r>
        <w:rPr>
          <w:rFonts w:eastAsia="Times New Roman" w:cs="Times New Roman"/>
          <w:szCs w:val="24"/>
        </w:rPr>
        <w:t xml:space="preserve">’ </w:t>
      </w:r>
      <w:r>
        <w:rPr>
          <w:rFonts w:eastAsia="Times New Roman" w:cs="Times New Roman"/>
          <w:color w:val="000000"/>
          <w:szCs w:val="24"/>
        </w:rPr>
        <w:t xml:space="preserve">bottom fishing activities on </w:t>
      </w:r>
      <w:r>
        <w:rPr>
          <w:rFonts w:eastAsia="Times New Roman" w:cs="Times New Roman"/>
          <w:szCs w:val="24"/>
        </w:rPr>
        <w:t>VMEs have</w:t>
      </w:r>
      <w:r>
        <w:rPr>
          <w:rFonts w:eastAsia="Times New Roman" w:cs="Times New Roman"/>
          <w:color w:val="000000"/>
          <w:szCs w:val="24"/>
        </w:rPr>
        <w:t xml:space="preserve"> not been updated to consider cumulative impacts or more recent scientific information and management considerations suc</w:t>
      </w:r>
      <w:r>
        <w:rPr>
          <w:rFonts w:eastAsia="Times New Roman" w:cs="Times New Roman"/>
          <w:szCs w:val="24"/>
        </w:rPr>
        <w:t>h as updated definitions of VME indicator taxa and encounter thresholds</w:t>
      </w:r>
      <w:r>
        <w:rPr>
          <w:rFonts w:eastAsia="Times New Roman" w:cs="Times New Roman"/>
          <w:color w:val="000000"/>
          <w:szCs w:val="24"/>
        </w:rPr>
        <w:t>.</w:t>
      </w:r>
    </w:p>
    <w:p w14:paraId="3BD8EBE7" w14:textId="5B7FED4B" w:rsidR="00460CDD" w:rsidRDefault="00460CDD" w:rsidP="00460CDD">
      <w:pPr>
        <w:widowControl/>
        <w:numPr>
          <w:ilvl w:val="0"/>
          <w:numId w:val="19"/>
        </w:numPr>
        <w:pBdr>
          <w:top w:val="nil"/>
          <w:left w:val="nil"/>
          <w:bottom w:val="nil"/>
          <w:right w:val="nil"/>
          <w:between w:val="nil"/>
        </w:pBdr>
        <w:spacing w:line="259" w:lineRule="auto"/>
        <w:jc w:val="left"/>
        <w:rPr>
          <w:rFonts w:eastAsia="Times New Roman" w:cs="Times New Roman"/>
          <w:color w:val="000000"/>
          <w:szCs w:val="24"/>
        </w:rPr>
      </w:pPr>
      <w:r>
        <w:rPr>
          <w:rFonts w:eastAsia="Times New Roman" w:cs="Times New Roman"/>
          <w:color w:val="000000"/>
          <w:szCs w:val="24"/>
        </w:rPr>
        <w:t xml:space="preserve">NPFC lacks stock assessments and any scientific advice on sustainable levels of fishing activities for two stocks that are believed to be overfished, North Pacific armorhead and splendid alfonsino. The Small Working Group on the </w:t>
      </w:r>
      <w:r>
        <w:rPr>
          <w:rFonts w:eastAsia="Times New Roman" w:cs="Times New Roman"/>
          <w:szCs w:val="24"/>
        </w:rPr>
        <w:t xml:space="preserve">North Pacific armorhead and </w:t>
      </w:r>
      <w:r w:rsidR="00FF314D">
        <w:rPr>
          <w:rFonts w:eastAsia="Times New Roman" w:cs="Times New Roman"/>
          <w:szCs w:val="24"/>
        </w:rPr>
        <w:t>s</w:t>
      </w:r>
      <w:r>
        <w:rPr>
          <w:rFonts w:eastAsia="Times New Roman" w:cs="Times New Roman"/>
          <w:szCs w:val="24"/>
        </w:rPr>
        <w:t xml:space="preserve">plendid alfonsino reviewed the results of some initial exploratory assessment approaches for </w:t>
      </w:r>
      <w:r w:rsidR="00FF314D">
        <w:rPr>
          <w:rFonts w:eastAsia="Times New Roman" w:cs="Times New Roman"/>
          <w:szCs w:val="24"/>
        </w:rPr>
        <w:t>s</w:t>
      </w:r>
      <w:r>
        <w:rPr>
          <w:rFonts w:eastAsia="Times New Roman" w:cs="Times New Roman"/>
          <w:szCs w:val="24"/>
        </w:rPr>
        <w:t xml:space="preserve">plendid alfonsino in 2024. The SWG considered it likely the stock was experiencing growth overfishing due to excess capture of juvenile fish in the trawl fishery and may also be experiencing recruitment overfishing due to a reduction in spawning potential to perhaps as low as 5% of unfished levels. Further assessment work on </w:t>
      </w:r>
      <w:r w:rsidR="00FF314D">
        <w:rPr>
          <w:rFonts w:eastAsia="Times New Roman" w:cs="Times New Roman"/>
          <w:szCs w:val="24"/>
        </w:rPr>
        <w:t>s</w:t>
      </w:r>
      <w:r>
        <w:rPr>
          <w:rFonts w:eastAsia="Times New Roman" w:cs="Times New Roman"/>
          <w:szCs w:val="24"/>
        </w:rPr>
        <w:t xml:space="preserve">plendid alfonsino is </w:t>
      </w:r>
      <w:r>
        <w:rPr>
          <w:rFonts w:eastAsia="Times New Roman" w:cs="Times New Roman"/>
          <w:szCs w:val="24"/>
        </w:rPr>
        <w:lastRenderedPageBreak/>
        <w:t>likely to be conducted in 2025 using an integrated assessment approach with augmented fisheries data sets.</w:t>
      </w:r>
    </w:p>
    <w:p w14:paraId="0BDEDD47" w14:textId="77777777" w:rsidR="00460CDD" w:rsidRDefault="00460CDD" w:rsidP="00460CDD">
      <w:pPr>
        <w:widowControl/>
        <w:numPr>
          <w:ilvl w:val="0"/>
          <w:numId w:val="19"/>
        </w:numPr>
        <w:pBdr>
          <w:top w:val="nil"/>
          <w:left w:val="nil"/>
          <w:bottom w:val="nil"/>
          <w:right w:val="nil"/>
          <w:between w:val="nil"/>
        </w:pBdr>
        <w:spacing w:line="259" w:lineRule="auto"/>
        <w:jc w:val="left"/>
        <w:rPr>
          <w:rFonts w:eastAsia="Times New Roman" w:cs="Times New Roman"/>
          <w:color w:val="000000"/>
          <w:szCs w:val="24"/>
        </w:rPr>
      </w:pPr>
      <w:r>
        <w:rPr>
          <w:rFonts w:eastAsia="Times New Roman" w:cs="Times New Roman"/>
          <w:color w:val="000000"/>
          <w:szCs w:val="24"/>
        </w:rPr>
        <w:t xml:space="preserve">Scientific literature highlights through direct observation or modeling the likely presence of VMEs in areas subject to current or potential fishing effort on the Emperor Seamounts.  Areas should be closed until we have clearer criteria for VMEs and can be confident that significant adverse impacts on VMEs will not occur, rather than putting the burden of proof on Members or observers to prove their presence before considering discrete area closures.  </w:t>
      </w:r>
    </w:p>
    <w:p w14:paraId="7FDBB6E5" w14:textId="77777777" w:rsidR="00460CDD" w:rsidRDefault="00460CDD" w:rsidP="00460CDD">
      <w:pPr>
        <w:rPr>
          <w:rFonts w:eastAsia="Times New Roman" w:cs="Times New Roman"/>
          <w:szCs w:val="24"/>
        </w:rPr>
      </w:pPr>
      <w:r>
        <w:rPr>
          <w:rFonts w:eastAsia="Times New Roman" w:cs="Times New Roman"/>
          <w:szCs w:val="24"/>
        </w:rPr>
        <w:t xml:space="preserve">The United States maintains that any one of these factors – let alone them in combination – should be sufficient to consider additional closures to bottom fishing consistent with the international guidance adopted through the United Nations General Assembly, as well as the precautionary approach enshrined in NPFC’s own Convention (Article 3(c)).  </w:t>
      </w:r>
    </w:p>
    <w:p w14:paraId="2B0461AF" w14:textId="77777777" w:rsidR="00460CDD" w:rsidRDefault="00460CDD" w:rsidP="00460CDD">
      <w:pPr>
        <w:rPr>
          <w:rFonts w:eastAsia="Times New Roman" w:cs="Times New Roman"/>
          <w:szCs w:val="24"/>
        </w:rPr>
      </w:pPr>
    </w:p>
    <w:p w14:paraId="62243F07" w14:textId="77777777" w:rsidR="00460CDD" w:rsidRDefault="00460CDD" w:rsidP="00460CDD">
      <w:pPr>
        <w:rPr>
          <w:rFonts w:eastAsia="Times New Roman" w:cs="Times New Roman"/>
          <w:szCs w:val="24"/>
        </w:rPr>
      </w:pPr>
      <w:r>
        <w:rPr>
          <w:rFonts w:eastAsia="Times New Roman" w:cs="Times New Roman"/>
          <w:b/>
          <w:szCs w:val="24"/>
        </w:rPr>
        <w:t>Proposed recommendations</w:t>
      </w:r>
      <w:r>
        <w:rPr>
          <w:rFonts w:eastAsia="Times New Roman" w:cs="Times New Roman"/>
          <w:szCs w:val="24"/>
        </w:rPr>
        <w:t xml:space="preserve">:  </w:t>
      </w:r>
      <w:r>
        <w:rPr>
          <w:rFonts w:eastAsia="Times New Roman" w:cs="Times New Roman"/>
          <w:szCs w:val="24"/>
        </w:rPr>
        <w:br/>
      </w:r>
    </w:p>
    <w:p w14:paraId="2392E22F" w14:textId="7195C918" w:rsidR="00460CDD" w:rsidRDefault="00460CDD" w:rsidP="00460CDD">
      <w:pPr>
        <w:widowControl/>
        <w:numPr>
          <w:ilvl w:val="0"/>
          <w:numId w:val="18"/>
        </w:numPr>
        <w:pBdr>
          <w:top w:val="nil"/>
          <w:left w:val="nil"/>
          <w:bottom w:val="nil"/>
          <w:right w:val="nil"/>
          <w:between w:val="nil"/>
        </w:pBdr>
        <w:spacing w:line="259" w:lineRule="auto"/>
        <w:jc w:val="left"/>
        <w:rPr>
          <w:rFonts w:eastAsia="Times New Roman" w:cs="Times New Roman"/>
          <w:color w:val="000000"/>
          <w:szCs w:val="24"/>
        </w:rPr>
      </w:pPr>
      <w:r>
        <w:rPr>
          <w:rFonts w:eastAsia="Times New Roman" w:cs="Times New Roman"/>
          <w:color w:val="000000"/>
          <w:szCs w:val="24"/>
        </w:rPr>
        <w:t xml:space="preserve">The SC should recommend the Commission request Members that conduct or seek to conduct bottom fishing in the Convention Area to </w:t>
      </w:r>
      <w:r>
        <w:rPr>
          <w:rFonts w:eastAsia="Times New Roman" w:cs="Times New Roman"/>
          <w:szCs w:val="24"/>
        </w:rPr>
        <w:t>provide updated</w:t>
      </w:r>
      <w:r>
        <w:rPr>
          <w:rFonts w:eastAsia="Times New Roman" w:cs="Times New Roman"/>
          <w:color w:val="000000"/>
          <w:szCs w:val="24"/>
        </w:rPr>
        <w:t xml:space="preserve"> assessments on bottom fishing activities</w:t>
      </w:r>
      <w:r>
        <w:rPr>
          <w:rFonts w:eastAsia="Times New Roman" w:cs="Times New Roman"/>
          <w:szCs w:val="24"/>
        </w:rPr>
        <w:t>’ significant adverse impacts on vulnerable marine ecosystems (following CMM-05 Annex 2)</w:t>
      </w:r>
      <w:r>
        <w:rPr>
          <w:rFonts w:eastAsia="Times New Roman" w:cs="Times New Roman"/>
          <w:color w:val="000000"/>
          <w:szCs w:val="24"/>
        </w:rPr>
        <w:t xml:space="preserve"> and submit them for review by the Scientific Committee and its subsidiary bodies by no later than</w:t>
      </w:r>
      <w:r>
        <w:rPr>
          <w:rFonts w:eastAsia="Times New Roman" w:cs="Times New Roman"/>
          <w:szCs w:val="24"/>
        </w:rPr>
        <w:t xml:space="preserve"> the 10th Scientific Committee meeting</w:t>
      </w:r>
      <w:r>
        <w:rPr>
          <w:rFonts w:eastAsia="Times New Roman" w:cs="Times New Roman"/>
          <w:color w:val="000000"/>
          <w:szCs w:val="24"/>
        </w:rPr>
        <w:t xml:space="preserve">. The SC will review updated impact assessments following CMM-05 Annex 3 and may recommend </w:t>
      </w:r>
      <w:r>
        <w:rPr>
          <w:rFonts w:eastAsia="Times New Roman" w:cs="Times New Roman"/>
          <w:szCs w:val="24"/>
        </w:rPr>
        <w:t>whether additional management measures will be required to prevent SAIs on VMEs</w:t>
      </w:r>
      <w:r>
        <w:rPr>
          <w:rFonts w:eastAsia="Times New Roman" w:cs="Times New Roman"/>
          <w:color w:val="000000"/>
          <w:szCs w:val="24"/>
        </w:rPr>
        <w:t xml:space="preserve">.  </w:t>
      </w:r>
    </w:p>
    <w:p w14:paraId="54FBFB77" w14:textId="55BF4CC8" w:rsidR="00460CDD" w:rsidRDefault="00460CDD" w:rsidP="00460CDD">
      <w:pPr>
        <w:widowControl/>
        <w:numPr>
          <w:ilvl w:val="0"/>
          <w:numId w:val="18"/>
        </w:numPr>
        <w:pBdr>
          <w:top w:val="nil"/>
          <w:left w:val="nil"/>
          <w:bottom w:val="nil"/>
          <w:right w:val="nil"/>
          <w:between w:val="nil"/>
        </w:pBdr>
        <w:spacing w:line="259" w:lineRule="auto"/>
        <w:jc w:val="left"/>
        <w:rPr>
          <w:rFonts w:eastAsia="Times New Roman" w:cs="Times New Roman"/>
          <w:color w:val="000000"/>
          <w:szCs w:val="24"/>
        </w:rPr>
      </w:pPr>
      <w:bookmarkStart w:id="0" w:name="_heading=h.gjdgxs" w:colFirst="0" w:colLast="0"/>
      <w:bookmarkEnd w:id="0"/>
      <w:r>
        <w:rPr>
          <w:rFonts w:eastAsia="Times New Roman" w:cs="Times New Roman"/>
          <w:color w:val="000000"/>
          <w:szCs w:val="24"/>
        </w:rPr>
        <w:t xml:space="preserve">The SC recommends the Commission consider additional area-based closures that would limit the risk of bottom fishing activities to deep-sea ecosystems while impact assessments are updated and reviewed by the SC, </w:t>
      </w:r>
      <w:r>
        <w:rPr>
          <w:rFonts w:eastAsia="Times New Roman" w:cs="Times New Roman"/>
          <w:szCs w:val="24"/>
        </w:rPr>
        <w:t xml:space="preserve">additional information is gathered to increase </w:t>
      </w:r>
      <w:r>
        <w:rPr>
          <w:rFonts w:eastAsia="Times New Roman" w:cs="Times New Roman"/>
          <w:color w:val="000000"/>
          <w:szCs w:val="24"/>
        </w:rPr>
        <w:t xml:space="preserve">confidence on VME distribution, and stock assessments are completed. SC should consider providing advice on options for discrete area closures that would protect areas that are </w:t>
      </w:r>
      <w:r>
        <w:rPr>
          <w:rFonts w:eastAsia="Times New Roman" w:cs="Times New Roman"/>
          <w:szCs w:val="24"/>
        </w:rPr>
        <w:t>most likely</w:t>
      </w:r>
      <w:r>
        <w:rPr>
          <w:rFonts w:eastAsia="Times New Roman" w:cs="Times New Roman"/>
          <w:color w:val="000000"/>
          <w:szCs w:val="24"/>
        </w:rPr>
        <w:t xml:space="preserve"> to contain VMEs – reducing risks to deep-sea ecosystems even if fishing occurs in other areas – in addition to the Commission considering broader temporary closures consistent with the precautionary approach.  </w:t>
      </w:r>
    </w:p>
    <w:p w14:paraId="0CD16DA2" w14:textId="77777777" w:rsidR="00460CDD" w:rsidRDefault="00460CDD" w:rsidP="00460CDD">
      <w:pPr>
        <w:rPr>
          <w:rFonts w:eastAsia="Times New Roman" w:cs="Times New Roman"/>
          <w:szCs w:val="24"/>
        </w:rPr>
      </w:pPr>
    </w:p>
    <w:p w14:paraId="59679CD8" w14:textId="77777777" w:rsidR="00460CDD" w:rsidRDefault="00460CDD" w:rsidP="00460CDD">
      <w:pPr>
        <w:rPr>
          <w:rFonts w:eastAsia="Times New Roman" w:cs="Times New Roman"/>
          <w:szCs w:val="24"/>
        </w:rPr>
      </w:pPr>
      <w:r>
        <w:rPr>
          <w:rFonts w:eastAsia="Times New Roman" w:cs="Times New Roman"/>
          <w:b/>
          <w:szCs w:val="24"/>
        </w:rPr>
        <w:t>Attachments</w:t>
      </w:r>
      <w:r>
        <w:rPr>
          <w:rFonts w:eastAsia="Times New Roman" w:cs="Times New Roman"/>
          <w:szCs w:val="24"/>
        </w:rPr>
        <w:t xml:space="preserve">:  </w:t>
      </w:r>
    </w:p>
    <w:p w14:paraId="76F8DEC3" w14:textId="77777777" w:rsidR="00460CDD" w:rsidRDefault="00460CDD" w:rsidP="00460CDD">
      <w:pPr>
        <w:widowControl/>
        <w:numPr>
          <w:ilvl w:val="0"/>
          <w:numId w:val="20"/>
        </w:numPr>
        <w:pBdr>
          <w:top w:val="nil"/>
          <w:left w:val="nil"/>
          <w:bottom w:val="nil"/>
          <w:right w:val="nil"/>
          <w:between w:val="nil"/>
        </w:pBdr>
        <w:spacing w:line="259" w:lineRule="auto"/>
        <w:jc w:val="left"/>
        <w:rPr>
          <w:rFonts w:eastAsia="Times New Roman" w:cs="Times New Roman"/>
          <w:color w:val="000000"/>
          <w:szCs w:val="24"/>
        </w:rPr>
      </w:pPr>
      <w:r>
        <w:rPr>
          <w:rFonts w:eastAsia="Times New Roman" w:cs="Times New Roman"/>
          <w:color w:val="000000"/>
          <w:szCs w:val="24"/>
        </w:rPr>
        <w:t>USA and Canada rev1 proposal to amend CMM 2023-05 – NPFC-2024-COM08-WP09 Rev.1 CMM 2023-05</w:t>
      </w:r>
    </w:p>
    <w:p w14:paraId="630C60BE" w14:textId="222F6248" w:rsidR="00417C81" w:rsidRPr="00460CDD" w:rsidRDefault="00460CDD" w:rsidP="00417C81">
      <w:pPr>
        <w:widowControl/>
        <w:numPr>
          <w:ilvl w:val="0"/>
          <w:numId w:val="20"/>
        </w:numPr>
        <w:pBdr>
          <w:top w:val="nil"/>
          <w:left w:val="nil"/>
          <w:bottom w:val="nil"/>
          <w:right w:val="nil"/>
          <w:between w:val="nil"/>
        </w:pBdr>
        <w:spacing w:line="259" w:lineRule="auto"/>
        <w:jc w:val="left"/>
        <w:rPr>
          <w:rFonts w:eastAsia="Times New Roman" w:cs="Times New Roman"/>
          <w:color w:val="000000"/>
          <w:szCs w:val="24"/>
        </w:rPr>
      </w:pPr>
      <w:r>
        <w:rPr>
          <w:rFonts w:eastAsia="Times New Roman" w:cs="Times New Roman"/>
          <w:color w:val="000000"/>
          <w:szCs w:val="24"/>
        </w:rPr>
        <w:t xml:space="preserve">List of papers consulted to support the scientific basis for the U.S. proposal </w:t>
      </w:r>
    </w:p>
    <w:sectPr w:rsidR="00417C81" w:rsidRPr="00460CDD" w:rsidSect="000316E9">
      <w:footerReference w:type="default" r:id="rId8"/>
      <w:headerReference w:type="first" r:id="rId9"/>
      <w:footerReference w:type="first" r:id="rId10"/>
      <w:pgSz w:w="11906" w:h="16838"/>
      <w:pgMar w:top="1560" w:right="1225" w:bottom="1276"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D449" w14:textId="77777777" w:rsidR="00C23B8A" w:rsidRDefault="00C23B8A" w:rsidP="001E4075">
      <w:r>
        <w:separator/>
      </w:r>
    </w:p>
  </w:endnote>
  <w:endnote w:type="continuationSeparator" w:id="0">
    <w:p w14:paraId="0C30D497" w14:textId="77777777" w:rsidR="00C23B8A" w:rsidRDefault="00C23B8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058290E" w:rsidR="006B4F3E" w:rsidRPr="007520B6" w:rsidRDefault="00E42B20"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0C906E81">
              <wp:simplePos x="0" y="0"/>
              <wp:positionH relativeFrom="margin">
                <wp:posOffset>-34925</wp:posOffset>
              </wp:positionH>
              <wp:positionV relativeFrom="paragraph">
                <wp:posOffset>-36830</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2.9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57A5BEAA">
              <wp:simplePos x="0" y="0"/>
              <wp:positionH relativeFrom="margin">
                <wp:posOffset>4613275</wp:posOffset>
              </wp:positionH>
              <wp:positionV relativeFrom="paragraph">
                <wp:posOffset>-40640</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3.2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g">
          <w:drawing>
            <wp:anchor distT="0" distB="0" distL="114300" distR="114300" simplePos="0" relativeHeight="251665408" behindDoc="1" locked="0" layoutInCell="1" allowOverlap="1" wp14:anchorId="7FDF8162" wp14:editId="4DE14F23">
              <wp:simplePos x="0" y="0"/>
              <wp:positionH relativeFrom="margin">
                <wp:posOffset>21590</wp:posOffset>
              </wp:positionH>
              <wp:positionV relativeFrom="paragraph">
                <wp:posOffset>498747</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12C6BA" id="グループ化 19" o:spid="_x0000_s1026" style="position:absolute;margin-left:1.7pt;margin-top:39.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0DC4" w14:textId="77777777" w:rsidR="00C23B8A" w:rsidRDefault="00C23B8A" w:rsidP="001E4075">
      <w:r>
        <w:separator/>
      </w:r>
    </w:p>
  </w:footnote>
  <w:footnote w:type="continuationSeparator" w:id="0">
    <w:p w14:paraId="207C47C0" w14:textId="77777777" w:rsidR="00C23B8A" w:rsidRDefault="00C23B8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890B697" w:rsidR="00E207AE" w:rsidRPr="006E6863" w:rsidRDefault="00AF52DF"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1D5268D6">
              <wp:simplePos x="0" y="0"/>
              <wp:positionH relativeFrom="margin">
                <wp:posOffset>1326515</wp:posOffset>
              </wp:positionH>
              <wp:positionV relativeFrom="paragraph">
                <wp:posOffset>640715</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4.45pt;margin-top:50.45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4F702BF0">
          <wp:simplePos x="0" y="0"/>
          <wp:positionH relativeFrom="margin">
            <wp:posOffset>2483485</wp:posOffset>
          </wp:positionH>
          <wp:positionV relativeFrom="paragraph">
            <wp:posOffset>-132443</wp:posOffset>
          </wp:positionV>
          <wp:extent cx="1047750" cy="770255"/>
          <wp:effectExtent l="0" t="0" r="0" b="0"/>
          <wp:wrapNone/>
          <wp:docPr id="108332762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43954304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B28DD"/>
    <w:multiLevelType w:val="multilevel"/>
    <w:tmpl w:val="D6A29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4663C06"/>
    <w:multiLevelType w:val="multilevel"/>
    <w:tmpl w:val="F51E3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36C1"/>
    <w:multiLevelType w:val="multilevel"/>
    <w:tmpl w:val="8D743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580553653">
    <w:abstractNumId w:val="18"/>
  </w:num>
  <w:num w:numId="2" w16cid:durableId="1481966387">
    <w:abstractNumId w:val="8"/>
  </w:num>
  <w:num w:numId="3" w16cid:durableId="698236895">
    <w:abstractNumId w:val="15"/>
  </w:num>
  <w:num w:numId="4" w16cid:durableId="1360350667">
    <w:abstractNumId w:val="3"/>
  </w:num>
  <w:num w:numId="5" w16cid:durableId="952130089">
    <w:abstractNumId w:val="5"/>
  </w:num>
  <w:num w:numId="6" w16cid:durableId="14163553">
    <w:abstractNumId w:val="4"/>
  </w:num>
  <w:num w:numId="7" w16cid:durableId="27218461">
    <w:abstractNumId w:val="13"/>
  </w:num>
  <w:num w:numId="8" w16cid:durableId="1645234137">
    <w:abstractNumId w:val="11"/>
  </w:num>
  <w:num w:numId="9" w16cid:durableId="266011479">
    <w:abstractNumId w:val="1"/>
  </w:num>
  <w:num w:numId="10" w16cid:durableId="1980576830">
    <w:abstractNumId w:val="0"/>
  </w:num>
  <w:num w:numId="11" w16cid:durableId="1465927208">
    <w:abstractNumId w:val="9"/>
  </w:num>
  <w:num w:numId="12" w16cid:durableId="833060305">
    <w:abstractNumId w:val="10"/>
  </w:num>
  <w:num w:numId="13" w16cid:durableId="742604144">
    <w:abstractNumId w:val="14"/>
  </w:num>
  <w:num w:numId="14" w16cid:durableId="217861414">
    <w:abstractNumId w:val="17"/>
  </w:num>
  <w:num w:numId="15" w16cid:durableId="2080863816">
    <w:abstractNumId w:val="19"/>
  </w:num>
  <w:num w:numId="16" w16cid:durableId="334262904">
    <w:abstractNumId w:val="16"/>
  </w:num>
  <w:num w:numId="17" w16cid:durableId="1120758791">
    <w:abstractNumId w:val="6"/>
  </w:num>
  <w:num w:numId="18" w16cid:durableId="927882400">
    <w:abstractNumId w:val="12"/>
  </w:num>
  <w:num w:numId="19" w16cid:durableId="782185736">
    <w:abstractNumId w:val="2"/>
  </w:num>
  <w:num w:numId="20" w16cid:durableId="247082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0225"/>
    <w:rsid w:val="00027A27"/>
    <w:rsid w:val="000316E9"/>
    <w:rsid w:val="00041374"/>
    <w:rsid w:val="00051EE5"/>
    <w:rsid w:val="0005251C"/>
    <w:rsid w:val="000529C5"/>
    <w:rsid w:val="0005577E"/>
    <w:rsid w:val="000704A8"/>
    <w:rsid w:val="000834EC"/>
    <w:rsid w:val="00091A0B"/>
    <w:rsid w:val="000B2BF8"/>
    <w:rsid w:val="000B3DFE"/>
    <w:rsid w:val="000D1AEF"/>
    <w:rsid w:val="000F6362"/>
    <w:rsid w:val="00101045"/>
    <w:rsid w:val="0012011D"/>
    <w:rsid w:val="0012771E"/>
    <w:rsid w:val="001304E5"/>
    <w:rsid w:val="00131DE1"/>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56BED"/>
    <w:rsid w:val="00287337"/>
    <w:rsid w:val="0029554A"/>
    <w:rsid w:val="002A12A6"/>
    <w:rsid w:val="002B6C97"/>
    <w:rsid w:val="002B755F"/>
    <w:rsid w:val="002E6611"/>
    <w:rsid w:val="002F0598"/>
    <w:rsid w:val="00312BCE"/>
    <w:rsid w:val="0031761D"/>
    <w:rsid w:val="00321065"/>
    <w:rsid w:val="0032487D"/>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247A3"/>
    <w:rsid w:val="00443D62"/>
    <w:rsid w:val="00446F32"/>
    <w:rsid w:val="00460CDD"/>
    <w:rsid w:val="0046235F"/>
    <w:rsid w:val="00473456"/>
    <w:rsid w:val="0047355B"/>
    <w:rsid w:val="00477B10"/>
    <w:rsid w:val="00483C8A"/>
    <w:rsid w:val="004B3FEA"/>
    <w:rsid w:val="004F59AF"/>
    <w:rsid w:val="0052326A"/>
    <w:rsid w:val="005363DF"/>
    <w:rsid w:val="00544511"/>
    <w:rsid w:val="00546F75"/>
    <w:rsid w:val="00551342"/>
    <w:rsid w:val="00552ACE"/>
    <w:rsid w:val="00554989"/>
    <w:rsid w:val="00577519"/>
    <w:rsid w:val="005829D1"/>
    <w:rsid w:val="00591EC0"/>
    <w:rsid w:val="005C3C1B"/>
    <w:rsid w:val="005F4B0A"/>
    <w:rsid w:val="006335E8"/>
    <w:rsid w:val="006454D3"/>
    <w:rsid w:val="0065220F"/>
    <w:rsid w:val="006563AE"/>
    <w:rsid w:val="006805D6"/>
    <w:rsid w:val="006A0DAB"/>
    <w:rsid w:val="006B4F3E"/>
    <w:rsid w:val="006D5D85"/>
    <w:rsid w:val="006E6863"/>
    <w:rsid w:val="00702A3B"/>
    <w:rsid w:val="00706704"/>
    <w:rsid w:val="00710CC4"/>
    <w:rsid w:val="00712C20"/>
    <w:rsid w:val="007176E2"/>
    <w:rsid w:val="00727567"/>
    <w:rsid w:val="0074396C"/>
    <w:rsid w:val="0074555D"/>
    <w:rsid w:val="007520B6"/>
    <w:rsid w:val="007543D8"/>
    <w:rsid w:val="00762BF6"/>
    <w:rsid w:val="00770C12"/>
    <w:rsid w:val="00772DD1"/>
    <w:rsid w:val="00792CFB"/>
    <w:rsid w:val="00797B8B"/>
    <w:rsid w:val="007A0BF5"/>
    <w:rsid w:val="007B09F9"/>
    <w:rsid w:val="007B0EC6"/>
    <w:rsid w:val="007D5843"/>
    <w:rsid w:val="007E26A0"/>
    <w:rsid w:val="007E50DD"/>
    <w:rsid w:val="007F4819"/>
    <w:rsid w:val="00815417"/>
    <w:rsid w:val="00824B2F"/>
    <w:rsid w:val="0084755C"/>
    <w:rsid w:val="0085242C"/>
    <w:rsid w:val="00880204"/>
    <w:rsid w:val="00880A8A"/>
    <w:rsid w:val="00880B54"/>
    <w:rsid w:val="008832D9"/>
    <w:rsid w:val="008B501E"/>
    <w:rsid w:val="008C08D0"/>
    <w:rsid w:val="008E2A30"/>
    <w:rsid w:val="0091165C"/>
    <w:rsid w:val="00921C3E"/>
    <w:rsid w:val="00923FC6"/>
    <w:rsid w:val="00952D36"/>
    <w:rsid w:val="0098034E"/>
    <w:rsid w:val="00985457"/>
    <w:rsid w:val="00993A2A"/>
    <w:rsid w:val="009940EF"/>
    <w:rsid w:val="009C4882"/>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5C85"/>
    <w:rsid w:val="00AC6A21"/>
    <w:rsid w:val="00AF52DF"/>
    <w:rsid w:val="00B13E26"/>
    <w:rsid w:val="00B14F50"/>
    <w:rsid w:val="00B46C6B"/>
    <w:rsid w:val="00B640C8"/>
    <w:rsid w:val="00B712BB"/>
    <w:rsid w:val="00B8528B"/>
    <w:rsid w:val="00BB00EF"/>
    <w:rsid w:val="00BB18A0"/>
    <w:rsid w:val="00BB1FD8"/>
    <w:rsid w:val="00BB5E3D"/>
    <w:rsid w:val="00BC786A"/>
    <w:rsid w:val="00BF6A19"/>
    <w:rsid w:val="00BF71DF"/>
    <w:rsid w:val="00C0355F"/>
    <w:rsid w:val="00C10A77"/>
    <w:rsid w:val="00C23B8A"/>
    <w:rsid w:val="00C50E07"/>
    <w:rsid w:val="00C83C38"/>
    <w:rsid w:val="00C922BD"/>
    <w:rsid w:val="00CA08CC"/>
    <w:rsid w:val="00CC48E0"/>
    <w:rsid w:val="00CE36AD"/>
    <w:rsid w:val="00D00BF5"/>
    <w:rsid w:val="00D34FC1"/>
    <w:rsid w:val="00D42168"/>
    <w:rsid w:val="00D46558"/>
    <w:rsid w:val="00D46887"/>
    <w:rsid w:val="00D503E4"/>
    <w:rsid w:val="00D62613"/>
    <w:rsid w:val="00D84A27"/>
    <w:rsid w:val="00D856B5"/>
    <w:rsid w:val="00DA2D56"/>
    <w:rsid w:val="00DA7754"/>
    <w:rsid w:val="00DF1F3C"/>
    <w:rsid w:val="00E1388A"/>
    <w:rsid w:val="00E16A5A"/>
    <w:rsid w:val="00E17A80"/>
    <w:rsid w:val="00E207AE"/>
    <w:rsid w:val="00E42B20"/>
    <w:rsid w:val="00E5555A"/>
    <w:rsid w:val="00E575D4"/>
    <w:rsid w:val="00E61035"/>
    <w:rsid w:val="00E8004D"/>
    <w:rsid w:val="00E8413E"/>
    <w:rsid w:val="00E91E89"/>
    <w:rsid w:val="00EE5D77"/>
    <w:rsid w:val="00EF1D5C"/>
    <w:rsid w:val="00EF1D82"/>
    <w:rsid w:val="00EF6ECA"/>
    <w:rsid w:val="00F01870"/>
    <w:rsid w:val="00F123E3"/>
    <w:rsid w:val="00F215E6"/>
    <w:rsid w:val="00F31CA4"/>
    <w:rsid w:val="00F32B7D"/>
    <w:rsid w:val="00F56E9B"/>
    <w:rsid w:val="00F6237F"/>
    <w:rsid w:val="00F658B7"/>
    <w:rsid w:val="00F71DE4"/>
    <w:rsid w:val="00F73E89"/>
    <w:rsid w:val="00F741B4"/>
    <w:rsid w:val="00F9558E"/>
    <w:rsid w:val="00FA73C8"/>
    <w:rsid w:val="00FB7FC2"/>
    <w:rsid w:val="00FC04AA"/>
    <w:rsid w:val="00FD0F7A"/>
    <w:rsid w:val="00FD2C0B"/>
    <w:rsid w:val="00FD337A"/>
    <w:rsid w:val="00FD7BC4"/>
    <w:rsid w:val="00FF3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4145</Characters>
  <Application>Microsoft Office Word</Application>
  <DocSecurity>0</DocSecurity>
  <Lines>71</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5</cp:revision>
  <cp:lastPrinted>2017-09-04T06:52:00Z</cp:lastPrinted>
  <dcterms:created xsi:type="dcterms:W3CDTF">2025-11-07T01:35:00Z</dcterms:created>
  <dcterms:modified xsi:type="dcterms:W3CDTF">2025-11-07T03:49:00Z</dcterms:modified>
</cp:coreProperties>
</file>