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6A97" w14:textId="7A669BD8" w:rsidR="00555962" w:rsidRDefault="00E91E89" w:rsidP="00F32B7D">
      <w:pPr>
        <w:spacing w:before="240"/>
        <w:jc w:val="right"/>
      </w:pPr>
      <w:r>
        <w:t>NPFC-20</w:t>
      </w:r>
      <w:r w:rsidR="001E49D8">
        <w:t>2</w:t>
      </w:r>
      <w:r w:rsidR="00B31BC0">
        <w:t>5</w:t>
      </w:r>
      <w:r>
        <w:t>-</w:t>
      </w:r>
      <w:r w:rsidR="00A24DD9">
        <w:t>BFME</w:t>
      </w:r>
      <w:r w:rsidR="007430AD">
        <w:t>0</w:t>
      </w:r>
      <w:r w:rsidR="00880A18">
        <w:rPr>
          <w:rFonts w:hint="eastAsia"/>
        </w:rPr>
        <w:t>6</w:t>
      </w:r>
      <w:r>
        <w:t>-WP</w:t>
      </w:r>
      <w:r w:rsidR="00344255">
        <w:t>13</w:t>
      </w:r>
    </w:p>
    <w:p w14:paraId="489651D2" w14:textId="77777777" w:rsidR="000D54C3" w:rsidRDefault="000D54C3" w:rsidP="000D54C3">
      <w:pPr>
        <w:jc w:val="center"/>
        <w:rPr>
          <w:rFonts w:eastAsia="Meiryo UI" w:cs="Times New Roman"/>
          <w:sz w:val="28"/>
          <w:szCs w:val="28"/>
        </w:rPr>
      </w:pPr>
    </w:p>
    <w:p w14:paraId="7449F0BF" w14:textId="77777777" w:rsidR="000D54C3" w:rsidRDefault="000D54C3" w:rsidP="000D54C3">
      <w:pPr>
        <w:jc w:val="center"/>
        <w:rPr>
          <w:rFonts w:eastAsia="Meiryo UI" w:cs="Times New Roman"/>
          <w:sz w:val="28"/>
          <w:szCs w:val="28"/>
        </w:rPr>
      </w:pPr>
    </w:p>
    <w:p w14:paraId="17764F82" w14:textId="77777777" w:rsidR="000D54C3" w:rsidRDefault="000D54C3" w:rsidP="000D54C3">
      <w:pPr>
        <w:jc w:val="center"/>
        <w:rPr>
          <w:rFonts w:eastAsia="Meiryo UI" w:cs="Times New Roman"/>
          <w:sz w:val="28"/>
          <w:szCs w:val="28"/>
        </w:rPr>
      </w:pPr>
    </w:p>
    <w:p w14:paraId="71BE29BE" w14:textId="77777777" w:rsidR="000D54C3" w:rsidRDefault="000D54C3" w:rsidP="000D54C3">
      <w:pPr>
        <w:jc w:val="center"/>
        <w:rPr>
          <w:rFonts w:eastAsia="Meiryo UI" w:cs="Times New Roman"/>
          <w:sz w:val="28"/>
          <w:szCs w:val="28"/>
        </w:rPr>
      </w:pPr>
    </w:p>
    <w:p w14:paraId="6726317A" w14:textId="77777777" w:rsidR="000D54C3" w:rsidRDefault="000D54C3" w:rsidP="000D54C3">
      <w:pPr>
        <w:jc w:val="center"/>
        <w:rPr>
          <w:rFonts w:eastAsia="Meiryo UI" w:cs="Times New Roman"/>
          <w:sz w:val="28"/>
          <w:szCs w:val="28"/>
        </w:rPr>
      </w:pPr>
    </w:p>
    <w:p w14:paraId="7FA3E2E5" w14:textId="77777777" w:rsidR="008B05BD" w:rsidRDefault="008B05BD" w:rsidP="000D54C3">
      <w:pPr>
        <w:jc w:val="center"/>
        <w:rPr>
          <w:rFonts w:eastAsia="Meiryo UI" w:cs="Times New Roman"/>
          <w:sz w:val="28"/>
          <w:szCs w:val="28"/>
        </w:rPr>
      </w:pPr>
    </w:p>
    <w:p w14:paraId="4D9D873F" w14:textId="13598F3A" w:rsidR="000D54C3" w:rsidRPr="00C423EA" w:rsidRDefault="000D54C3" w:rsidP="000D54C3">
      <w:pPr>
        <w:jc w:val="center"/>
        <w:rPr>
          <w:rFonts w:eastAsia="Meiryo UI" w:cs="Times New Roman"/>
          <w:szCs w:val="24"/>
        </w:rPr>
      </w:pPr>
      <w:bookmarkStart w:id="0" w:name="_Hlk213425573"/>
      <w:r w:rsidRPr="00C423EA">
        <w:rPr>
          <w:rFonts w:eastAsia="Meiryo UI" w:cs="Times New Roman"/>
          <w:szCs w:val="24"/>
        </w:rPr>
        <w:t xml:space="preserve">Catch per unit effort </w:t>
      </w:r>
      <w:r w:rsidR="00FC15E9">
        <w:rPr>
          <w:rFonts w:eastAsia="Meiryo UI" w:cs="Times New Roman"/>
          <w:szCs w:val="24"/>
        </w:rPr>
        <w:t xml:space="preserve">standardization </w:t>
      </w:r>
      <w:r w:rsidRPr="00C423EA">
        <w:rPr>
          <w:rFonts w:eastAsia="Meiryo UI" w:cs="Times New Roman"/>
          <w:szCs w:val="24"/>
        </w:rPr>
        <w:t xml:space="preserve">of splendid alfonsino </w:t>
      </w:r>
      <w:r w:rsidRPr="00C423EA">
        <w:rPr>
          <w:rFonts w:eastAsia="Meiryo UI" w:cs="Times New Roman"/>
          <w:i/>
          <w:iCs/>
          <w:szCs w:val="24"/>
        </w:rPr>
        <w:t>Beryx splendens</w:t>
      </w:r>
      <w:r w:rsidRPr="00C423EA">
        <w:rPr>
          <w:rFonts w:eastAsia="Meiryo UI" w:cs="Times New Roman"/>
          <w:szCs w:val="24"/>
        </w:rPr>
        <w:t xml:space="preserve"> in the Emperor Seamounts</w:t>
      </w:r>
      <w:bookmarkEnd w:id="0"/>
    </w:p>
    <w:p w14:paraId="2F5A5DE5" w14:textId="77777777" w:rsidR="000D54C3" w:rsidRPr="00C423EA" w:rsidRDefault="000D54C3" w:rsidP="000D54C3">
      <w:pPr>
        <w:rPr>
          <w:rFonts w:eastAsia="Meiryo UI" w:cs="Times New Roman"/>
          <w:szCs w:val="24"/>
        </w:rPr>
      </w:pPr>
    </w:p>
    <w:p w14:paraId="38D0E425" w14:textId="77777777" w:rsidR="000D54C3" w:rsidRPr="00C423EA" w:rsidRDefault="000D54C3" w:rsidP="000D54C3">
      <w:pPr>
        <w:rPr>
          <w:rFonts w:eastAsia="Meiryo UI" w:cs="Times New Roman"/>
          <w:szCs w:val="24"/>
        </w:rPr>
      </w:pPr>
    </w:p>
    <w:p w14:paraId="40CD43FF" w14:textId="77777777" w:rsidR="000D54C3" w:rsidRPr="00C423EA" w:rsidRDefault="000D54C3" w:rsidP="000D54C3">
      <w:pPr>
        <w:jc w:val="center"/>
        <w:rPr>
          <w:rFonts w:eastAsia="Meiryo UI" w:cs="Times New Roman"/>
          <w:szCs w:val="24"/>
        </w:rPr>
      </w:pPr>
      <w:r w:rsidRPr="00C423EA">
        <w:rPr>
          <w:rFonts w:eastAsia="Meiryo UI" w:cs="Times New Roman"/>
          <w:szCs w:val="24"/>
        </w:rPr>
        <w:t>Christopher G. Ayer and Kota Sawada</w:t>
      </w:r>
    </w:p>
    <w:p w14:paraId="1DB65E56" w14:textId="77777777" w:rsidR="000D54C3" w:rsidRPr="00C423EA" w:rsidRDefault="000D54C3" w:rsidP="000D54C3">
      <w:pPr>
        <w:rPr>
          <w:rFonts w:eastAsia="Meiryo UI" w:cs="Times New Roman"/>
          <w:szCs w:val="24"/>
        </w:rPr>
      </w:pPr>
    </w:p>
    <w:p w14:paraId="784DD4C4" w14:textId="77777777" w:rsidR="000D54C3" w:rsidRPr="00D83820" w:rsidRDefault="000D54C3" w:rsidP="000D54C3">
      <w:pPr>
        <w:rPr>
          <w:rFonts w:eastAsia="Meiryo UI" w:cs="Times New Roman"/>
        </w:rPr>
      </w:pPr>
    </w:p>
    <w:p w14:paraId="5CE86700" w14:textId="77777777" w:rsidR="000D54C3" w:rsidRPr="00D83820" w:rsidRDefault="000D54C3" w:rsidP="000D54C3">
      <w:pPr>
        <w:jc w:val="center"/>
        <w:rPr>
          <w:rFonts w:eastAsia="Meiryo UI" w:cs="Times New Roman"/>
        </w:rPr>
      </w:pPr>
      <w:r w:rsidRPr="00D83820">
        <w:rPr>
          <w:rFonts w:eastAsia="Meiryo UI" w:cs="Times New Roman"/>
        </w:rPr>
        <w:t xml:space="preserve">Oceanic Resources Group, Fisheries Resources Institute, </w:t>
      </w:r>
    </w:p>
    <w:p w14:paraId="5AC45852" w14:textId="77777777" w:rsidR="000D54C3" w:rsidRPr="00D83820" w:rsidRDefault="000D54C3" w:rsidP="000D54C3">
      <w:pPr>
        <w:jc w:val="center"/>
        <w:rPr>
          <w:rFonts w:eastAsia="Meiryo UI" w:cs="Times New Roman"/>
        </w:rPr>
      </w:pPr>
      <w:r w:rsidRPr="00D83820">
        <w:rPr>
          <w:rFonts w:eastAsia="Meiryo UI" w:cs="Times New Roman"/>
        </w:rPr>
        <w:t>Japan Fisheries Research and Education Agency</w:t>
      </w:r>
    </w:p>
    <w:p w14:paraId="397D1C27" w14:textId="77777777" w:rsidR="000D54C3" w:rsidRDefault="000D54C3" w:rsidP="000D54C3">
      <w:pPr>
        <w:rPr>
          <w:rFonts w:eastAsia="Meiryo UI" w:cs="Times New Roman"/>
        </w:rPr>
      </w:pPr>
    </w:p>
    <w:p w14:paraId="5538AF31" w14:textId="77777777" w:rsidR="00E83027" w:rsidRDefault="00E83027" w:rsidP="000D54C3">
      <w:pPr>
        <w:rPr>
          <w:rFonts w:eastAsia="Meiryo UI" w:cs="Times New Roman"/>
        </w:rPr>
      </w:pPr>
    </w:p>
    <w:p w14:paraId="4378A4A1" w14:textId="77777777" w:rsidR="00E83027" w:rsidRDefault="00E83027" w:rsidP="000D54C3">
      <w:pPr>
        <w:rPr>
          <w:rFonts w:eastAsia="Meiryo UI" w:cs="Times New Roman"/>
        </w:rPr>
      </w:pPr>
    </w:p>
    <w:p w14:paraId="5E0060B3" w14:textId="77777777" w:rsidR="00E83027" w:rsidRDefault="00E83027" w:rsidP="000D54C3">
      <w:pPr>
        <w:rPr>
          <w:rFonts w:eastAsia="Meiryo UI" w:cs="Times New Roman"/>
        </w:rPr>
      </w:pPr>
    </w:p>
    <w:p w14:paraId="14251179" w14:textId="77777777" w:rsidR="00E83027" w:rsidRDefault="00E83027" w:rsidP="000D54C3">
      <w:pPr>
        <w:rPr>
          <w:rFonts w:eastAsia="Meiryo UI" w:cs="Times New Roman"/>
        </w:rPr>
      </w:pPr>
    </w:p>
    <w:p w14:paraId="6AA0FF70" w14:textId="77777777" w:rsidR="00E83027" w:rsidRDefault="00E83027" w:rsidP="000D54C3">
      <w:pPr>
        <w:rPr>
          <w:rFonts w:eastAsia="Meiryo UI" w:cs="Times New Roman"/>
        </w:rPr>
      </w:pPr>
    </w:p>
    <w:p w14:paraId="4BB69E5A" w14:textId="77777777" w:rsidR="00E83027" w:rsidRDefault="00E83027" w:rsidP="000D54C3">
      <w:pPr>
        <w:rPr>
          <w:rFonts w:eastAsia="Meiryo UI" w:cs="Times New Roman"/>
        </w:rPr>
      </w:pPr>
    </w:p>
    <w:p w14:paraId="068102C9" w14:textId="77777777" w:rsidR="00E83027" w:rsidRDefault="00E83027" w:rsidP="000D54C3">
      <w:pPr>
        <w:rPr>
          <w:rFonts w:eastAsia="Meiryo UI" w:cs="Times New Roman"/>
        </w:rPr>
      </w:pPr>
    </w:p>
    <w:p w14:paraId="2DC3E89E" w14:textId="77777777" w:rsidR="00E83027" w:rsidRDefault="00E83027" w:rsidP="000D54C3">
      <w:pPr>
        <w:rPr>
          <w:rFonts w:eastAsia="Meiryo UI" w:cs="Times New Roman"/>
        </w:rPr>
      </w:pPr>
    </w:p>
    <w:p w14:paraId="4357EB05" w14:textId="64227A0F" w:rsidR="00E83027" w:rsidRDefault="00E83027" w:rsidP="00E83027">
      <w:pPr>
        <w:spacing w:before="240"/>
        <w:jc w:val="center"/>
      </w:pPr>
      <w:r>
        <w:t>December 202</w:t>
      </w:r>
      <w:r w:rsidR="002749CD">
        <w:t>5</w:t>
      </w:r>
    </w:p>
    <w:p w14:paraId="1EDFF30A" w14:textId="77777777" w:rsidR="00E83027" w:rsidRPr="0032691E" w:rsidRDefault="00E83027" w:rsidP="00E83027">
      <w:pPr>
        <w:pBdr>
          <w:bottom w:val="single" w:sz="12" w:space="1" w:color="auto"/>
        </w:pBdr>
        <w:jc w:val="center"/>
        <w:rPr>
          <w:sz w:val="21"/>
          <w:szCs w:val="21"/>
        </w:rPr>
      </w:pPr>
    </w:p>
    <w:p w14:paraId="107B8068" w14:textId="77777777" w:rsidR="00E83027" w:rsidRPr="0032691E" w:rsidRDefault="00E83027" w:rsidP="00E83027">
      <w:pPr>
        <w:spacing w:after="120"/>
        <w:rPr>
          <w:rFonts w:cs="Times New Roman"/>
          <w:b/>
          <w:sz w:val="21"/>
          <w:szCs w:val="21"/>
        </w:rPr>
      </w:pPr>
    </w:p>
    <w:p w14:paraId="6CF9CAFA" w14:textId="77777777" w:rsidR="00E83027" w:rsidRPr="00AF0689" w:rsidRDefault="00E83027" w:rsidP="00E83027">
      <w:pPr>
        <w:spacing w:after="120"/>
        <w:rPr>
          <w:rFonts w:cs="Times New Roman"/>
          <w:szCs w:val="24"/>
        </w:rPr>
      </w:pPr>
      <w:r w:rsidRPr="00AF0689">
        <w:rPr>
          <w:rFonts w:cs="Times New Roman"/>
          <w:b/>
          <w:szCs w:val="24"/>
        </w:rPr>
        <w:t>This paper may be cited in the following manner:</w:t>
      </w:r>
    </w:p>
    <w:p w14:paraId="45ECD7AD" w14:textId="41C2EBBD" w:rsidR="00E83027" w:rsidRPr="00AF0689" w:rsidRDefault="00E83027" w:rsidP="00E83027">
      <w:pPr>
        <w:jc w:val="left"/>
        <w:rPr>
          <w:rFonts w:cs="Times New Roman"/>
          <w:szCs w:val="24"/>
        </w:rPr>
      </w:pPr>
      <w:r>
        <w:t>Ayer, C.G. and Sawada, K. 202</w:t>
      </w:r>
      <w:r w:rsidR="002749CD">
        <w:t>5</w:t>
      </w:r>
      <w:r>
        <w:t xml:space="preserve">. </w:t>
      </w:r>
      <w:r w:rsidR="002749CD" w:rsidRPr="002749CD">
        <w:t>Catch per unit effort of splendid alfonsino Beryx splendens in the Emperor Seamounts</w:t>
      </w:r>
      <w:r>
        <w:rPr>
          <w:rFonts w:hint="eastAsia"/>
        </w:rPr>
        <w:t>.</w:t>
      </w:r>
      <w:r w:rsidRPr="00FB5FD7">
        <w:t xml:space="preserve"> NPFC-202</w:t>
      </w:r>
      <w:r w:rsidR="002749CD">
        <w:t>5</w:t>
      </w:r>
      <w:r w:rsidRPr="00FB5FD7">
        <w:t>-SSC BFME</w:t>
      </w:r>
      <w:r w:rsidR="0087125A">
        <w:t>04</w:t>
      </w:r>
      <w:r w:rsidRPr="00FB5FD7">
        <w:t>-WP</w:t>
      </w:r>
      <w:r w:rsidR="00344255">
        <w:t>13</w:t>
      </w:r>
      <w:r>
        <w:rPr>
          <w:rFonts w:hint="eastAsia"/>
        </w:rPr>
        <w:t>.</w:t>
      </w:r>
      <w:r>
        <w:t xml:space="preserve"> </w:t>
      </w:r>
      <w:r w:rsidR="00880A18">
        <w:rPr>
          <w:rFonts w:cs="Times New Roman" w:hint="eastAsia"/>
          <w:szCs w:val="24"/>
        </w:rPr>
        <w:t>9</w:t>
      </w:r>
      <w:r w:rsidRPr="00AF0689">
        <w:rPr>
          <w:rFonts w:cs="Times New Roman"/>
          <w:szCs w:val="24"/>
        </w:rPr>
        <w:t xml:space="preserve"> pp. </w:t>
      </w:r>
      <w:r w:rsidRPr="00AF0689">
        <w:rPr>
          <w:szCs w:val="24"/>
        </w:rPr>
        <w:t>Available at https://www.npfc.int/</w:t>
      </w:r>
    </w:p>
    <w:p w14:paraId="2A1ACF42" w14:textId="77777777" w:rsidR="00E83027" w:rsidRDefault="00E83027" w:rsidP="00E83027">
      <w:pPr>
        <w:widowControl/>
        <w:jc w:val="left"/>
      </w:pPr>
      <w:r w:rsidRPr="00663BDE">
        <w:rPr>
          <w:rFonts w:ascii="Meiryo UI" w:eastAsia="Meiryo UI" w:hAnsi="Meiryo UI"/>
          <w:noProof/>
          <w:sz w:val="20"/>
          <w:szCs w:val="20"/>
        </w:rPr>
        <mc:AlternateContent>
          <mc:Choice Requires="wps">
            <w:drawing>
              <wp:anchor distT="0" distB="0" distL="114300" distR="114300" simplePos="0" relativeHeight="251659264" behindDoc="0" locked="0" layoutInCell="1" allowOverlap="1" wp14:anchorId="618DCE6C" wp14:editId="1834EEF6">
                <wp:simplePos x="0" y="0"/>
                <wp:positionH relativeFrom="margin">
                  <wp:align>left</wp:align>
                </wp:positionH>
                <wp:positionV relativeFrom="paragraph">
                  <wp:posOffset>248284</wp:posOffset>
                </wp:positionV>
                <wp:extent cx="6121400" cy="22013"/>
                <wp:effectExtent l="0" t="0" r="31750" b="35560"/>
                <wp:wrapNone/>
                <wp:docPr id="482084238"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2201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3606B" id="直線コネクタ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5pt" to="48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" strokecolor="black [3213]" strokeweight="1.5pt">
                <v:stroke joinstyle="miter"/>
                <o:lock v:ext="edit" shapetype="f"/>
                <w10:wrap anchorx="margin"/>
              </v:line>
            </w:pict>
          </mc:Fallback>
        </mc:AlternateContent>
      </w:r>
    </w:p>
    <w:p w14:paraId="0CAC26C4" w14:textId="77777777" w:rsidR="00E83027" w:rsidRDefault="00E83027" w:rsidP="000D54C3">
      <w:pPr>
        <w:rPr>
          <w:rFonts w:eastAsia="Meiryo UI" w:cs="Times New Roman"/>
        </w:rPr>
      </w:pPr>
    </w:p>
    <w:p w14:paraId="5C47E809" w14:textId="77777777" w:rsidR="000D54C3" w:rsidRDefault="000D54C3" w:rsidP="00F32B7D">
      <w:pPr>
        <w:spacing w:before="240"/>
        <w:jc w:val="right"/>
      </w:pPr>
    </w:p>
    <w:p w14:paraId="1CC8A81B" w14:textId="317F31D3" w:rsidR="00B31BC0" w:rsidRPr="00D83820" w:rsidRDefault="00555962" w:rsidP="002749CD">
      <w:pPr>
        <w:widowControl/>
        <w:jc w:val="center"/>
        <w:rPr>
          <w:rFonts w:eastAsia="Meiryo UI" w:cs="Times New Roman"/>
          <w:sz w:val="28"/>
          <w:szCs w:val="28"/>
        </w:rPr>
      </w:pPr>
      <w:r>
        <w:br w:type="page"/>
      </w:r>
      <w:r w:rsidR="00B31BC0">
        <w:rPr>
          <w:rFonts w:eastAsia="Meiryo UI" w:cs="Times New Roman"/>
          <w:sz w:val="28"/>
          <w:szCs w:val="28"/>
        </w:rPr>
        <w:lastRenderedPageBreak/>
        <w:t xml:space="preserve">Catch per unit effort </w:t>
      </w:r>
      <w:r w:rsidR="008C25B1">
        <w:rPr>
          <w:rFonts w:eastAsia="Meiryo UI" w:cs="Times New Roman"/>
          <w:sz w:val="28"/>
          <w:szCs w:val="28"/>
        </w:rPr>
        <w:t xml:space="preserve">standardization </w:t>
      </w:r>
      <w:r w:rsidR="00B31BC0">
        <w:rPr>
          <w:rFonts w:eastAsia="Meiryo UI" w:cs="Times New Roman"/>
          <w:sz w:val="28"/>
          <w:szCs w:val="28"/>
        </w:rPr>
        <w:t>of</w:t>
      </w:r>
      <w:r w:rsidR="00B31BC0" w:rsidRPr="00D83820">
        <w:rPr>
          <w:rFonts w:eastAsia="Meiryo UI" w:cs="Times New Roman"/>
          <w:sz w:val="28"/>
          <w:szCs w:val="28"/>
        </w:rPr>
        <w:t xml:space="preserve"> splendid alfonsino </w:t>
      </w:r>
      <w:r w:rsidR="00B31BC0" w:rsidRPr="00D83820">
        <w:rPr>
          <w:rFonts w:eastAsia="Meiryo UI" w:cs="Times New Roman"/>
          <w:i/>
          <w:iCs/>
          <w:sz w:val="28"/>
          <w:szCs w:val="28"/>
        </w:rPr>
        <w:t>Beryx splendens</w:t>
      </w:r>
      <w:r w:rsidR="00B31BC0" w:rsidRPr="00D83820">
        <w:rPr>
          <w:rFonts w:eastAsia="Meiryo UI" w:cs="Times New Roman"/>
          <w:sz w:val="28"/>
          <w:szCs w:val="28"/>
        </w:rPr>
        <w:t xml:space="preserve"> in the Emperor Seamounts</w:t>
      </w:r>
    </w:p>
    <w:p w14:paraId="58E5CF60" w14:textId="77777777" w:rsidR="00B31BC0" w:rsidRDefault="00B31BC0" w:rsidP="002749CD">
      <w:pPr>
        <w:jc w:val="center"/>
        <w:rPr>
          <w:rFonts w:eastAsia="Meiryo UI" w:cs="Times New Roman"/>
        </w:rPr>
      </w:pPr>
    </w:p>
    <w:p w14:paraId="508B21DB" w14:textId="77777777" w:rsidR="00E2104C" w:rsidRPr="00D83820" w:rsidRDefault="00E2104C" w:rsidP="002749CD">
      <w:pPr>
        <w:jc w:val="center"/>
        <w:rPr>
          <w:rFonts w:eastAsia="Meiryo UI" w:cs="Times New Roman"/>
        </w:rPr>
      </w:pPr>
    </w:p>
    <w:p w14:paraId="03517F3A" w14:textId="77777777" w:rsidR="00B31BC0" w:rsidRPr="00D83820" w:rsidRDefault="00B31BC0" w:rsidP="00B31BC0">
      <w:pPr>
        <w:jc w:val="center"/>
        <w:rPr>
          <w:rFonts w:eastAsia="Meiryo UI" w:cs="Times New Roman"/>
          <w:sz w:val="28"/>
          <w:szCs w:val="28"/>
        </w:rPr>
      </w:pPr>
      <w:r w:rsidRPr="00D83820">
        <w:rPr>
          <w:rFonts w:eastAsia="Meiryo UI" w:cs="Times New Roman"/>
          <w:sz w:val="28"/>
          <w:szCs w:val="28"/>
        </w:rPr>
        <w:t>Christopher G. Ayer and Kota Sawada</w:t>
      </w:r>
    </w:p>
    <w:p w14:paraId="688A9661" w14:textId="77777777" w:rsidR="00B31BC0" w:rsidRDefault="00B31BC0" w:rsidP="00B31BC0">
      <w:pPr>
        <w:rPr>
          <w:rFonts w:eastAsia="Meiryo UI" w:cs="Times New Roman"/>
        </w:rPr>
      </w:pPr>
    </w:p>
    <w:p w14:paraId="17E3F3AC" w14:textId="77777777" w:rsidR="00151952" w:rsidRPr="00D83820" w:rsidRDefault="00151952" w:rsidP="00B31BC0">
      <w:pPr>
        <w:rPr>
          <w:rFonts w:eastAsia="Meiryo UI" w:cs="Times New Roman"/>
        </w:rPr>
      </w:pPr>
    </w:p>
    <w:p w14:paraId="27B7FDEE" w14:textId="77777777" w:rsidR="00B31BC0" w:rsidRPr="00D83820" w:rsidRDefault="00B31BC0" w:rsidP="00B31BC0">
      <w:pPr>
        <w:jc w:val="center"/>
        <w:rPr>
          <w:rFonts w:eastAsia="Meiryo UI" w:cs="Times New Roman"/>
        </w:rPr>
      </w:pPr>
      <w:r w:rsidRPr="00D83820">
        <w:rPr>
          <w:rFonts w:eastAsia="Meiryo UI" w:cs="Times New Roman"/>
        </w:rPr>
        <w:t xml:space="preserve">Oceanic Resources Group, Fisheries Resources Institute, </w:t>
      </w:r>
    </w:p>
    <w:p w14:paraId="58955326" w14:textId="77777777" w:rsidR="00B31BC0" w:rsidRPr="00D83820" w:rsidRDefault="00B31BC0" w:rsidP="00B31BC0">
      <w:pPr>
        <w:jc w:val="center"/>
        <w:rPr>
          <w:rFonts w:eastAsia="Meiryo UI" w:cs="Times New Roman"/>
        </w:rPr>
      </w:pPr>
      <w:r w:rsidRPr="00D83820">
        <w:rPr>
          <w:rFonts w:eastAsia="Meiryo UI" w:cs="Times New Roman"/>
        </w:rPr>
        <w:t>Japan Fisheries Research and Education Agency</w:t>
      </w:r>
    </w:p>
    <w:p w14:paraId="73A3C1C7" w14:textId="77777777" w:rsidR="00B31BC0" w:rsidRDefault="00B31BC0" w:rsidP="00B31BC0">
      <w:pPr>
        <w:rPr>
          <w:rFonts w:eastAsia="Meiryo UI" w:cs="Times New Roman"/>
        </w:rPr>
      </w:pPr>
    </w:p>
    <w:p w14:paraId="6C4DDB7D" w14:textId="77777777" w:rsidR="00B31BC0" w:rsidRDefault="00B31BC0" w:rsidP="00B31BC0">
      <w:pPr>
        <w:rPr>
          <w:rFonts w:eastAsia="Meiryo UI" w:cs="Times New Roman"/>
        </w:rPr>
      </w:pPr>
    </w:p>
    <w:p w14:paraId="01EA2F58" w14:textId="77777777" w:rsidR="00B31BC0" w:rsidRDefault="00B31BC0" w:rsidP="00B31BC0">
      <w:pPr>
        <w:rPr>
          <w:rFonts w:eastAsia="Meiryo UI" w:cs="Times New Roman"/>
        </w:rPr>
      </w:pPr>
    </w:p>
    <w:p w14:paraId="221A03DE" w14:textId="77777777" w:rsidR="00AB0297" w:rsidRDefault="00AB0297" w:rsidP="00B31BC0">
      <w:pPr>
        <w:rPr>
          <w:rFonts w:eastAsia="Meiryo UI" w:cs="Times New Roman"/>
        </w:rPr>
      </w:pPr>
    </w:p>
    <w:p w14:paraId="09907E40" w14:textId="77777777" w:rsidR="00AB0297" w:rsidRDefault="00AB0297" w:rsidP="00B31BC0">
      <w:pPr>
        <w:rPr>
          <w:rFonts w:eastAsia="Meiryo UI" w:cs="Times New Roman"/>
        </w:rPr>
      </w:pPr>
    </w:p>
    <w:p w14:paraId="08880346" w14:textId="77777777" w:rsidR="00151952" w:rsidRDefault="00151952" w:rsidP="00B31BC0">
      <w:pPr>
        <w:rPr>
          <w:rFonts w:eastAsia="Meiryo UI" w:cs="Times New Roman"/>
        </w:rPr>
      </w:pPr>
    </w:p>
    <w:p w14:paraId="1026E9DC" w14:textId="77777777" w:rsidR="00B31BC0" w:rsidRPr="00885A38" w:rsidRDefault="00B31BC0" w:rsidP="00B31BC0">
      <w:pPr>
        <w:jc w:val="center"/>
        <w:rPr>
          <w:rFonts w:eastAsia="Meiryo UI" w:cs="Times New Roman"/>
          <w:sz w:val="28"/>
          <w:szCs w:val="28"/>
        </w:rPr>
      </w:pPr>
      <w:r w:rsidRPr="00885A38">
        <w:rPr>
          <w:rFonts w:eastAsia="Meiryo UI" w:cs="Times New Roman"/>
          <w:sz w:val="28"/>
          <w:szCs w:val="28"/>
        </w:rPr>
        <w:t>Abstract</w:t>
      </w:r>
    </w:p>
    <w:p w14:paraId="3FE65AD1" w14:textId="4F03E679" w:rsidR="00B31BC0" w:rsidRDefault="00144E25" w:rsidP="00B31BC0">
      <w:pPr>
        <w:rPr>
          <w:rFonts w:eastAsia="Meiryo UI" w:cs="Times New Roman"/>
        </w:rPr>
      </w:pPr>
      <w:r>
        <w:rPr>
          <w:rFonts w:eastAsia="Meiryo UI" w:cs="Times New Roman"/>
        </w:rPr>
        <w:t xml:space="preserve">     </w:t>
      </w:r>
      <w:r w:rsidR="00B31BC0">
        <w:rPr>
          <w:rFonts w:eastAsia="Meiryo UI" w:cs="Times New Roman"/>
        </w:rPr>
        <w:t xml:space="preserve">Initial estimates of standardized CPUE for splendid alfonsino in the Emperor Seamounts, with records from </w:t>
      </w:r>
      <w:r w:rsidR="008C25B1">
        <w:rPr>
          <w:rFonts w:eastAsia="Meiryo UI" w:cs="Times New Roman"/>
        </w:rPr>
        <w:t xml:space="preserve">2010 </w:t>
      </w:r>
      <w:r w:rsidR="00B31BC0">
        <w:rPr>
          <w:rFonts w:eastAsia="Meiryo UI" w:cs="Times New Roman"/>
        </w:rPr>
        <w:t xml:space="preserve">to 2024 by the bottom trawl and bottom gillnet fisheries. Trawl and gillnet data was analyzed separately, due to differences in record methodology and fishing history. For statistical analysis we employed a delta-gamma model utilizing the sdmTMB package to compare CPUE over time. While we found the sdmTMB delta-gamma model to fit our data well according to quantile-quantile plot, due to ongoing issues with coding, we have been unable to calculate the index values </w:t>
      </w:r>
      <w:r w:rsidR="001D2C9F">
        <w:rPr>
          <w:rFonts w:eastAsia="Meiryo UI" w:cs="Times New Roman"/>
        </w:rPr>
        <w:t>and associated uncertaint</w:t>
      </w:r>
      <w:r w:rsidR="00111C61">
        <w:rPr>
          <w:rFonts w:eastAsia="Meiryo UI" w:cs="Times New Roman"/>
        </w:rPr>
        <w:t xml:space="preserve">y </w:t>
      </w:r>
      <w:r w:rsidR="00B31BC0">
        <w:rPr>
          <w:rFonts w:eastAsia="Meiryo UI" w:cs="Times New Roman"/>
        </w:rPr>
        <w:t xml:space="preserve">necessary for </w:t>
      </w:r>
      <w:r w:rsidR="0093385F">
        <w:rPr>
          <w:rFonts w:eastAsia="Meiryo UI" w:cs="Times New Roman"/>
        </w:rPr>
        <w:t>integrated modeling</w:t>
      </w:r>
      <w:r w:rsidR="00B31BC0">
        <w:rPr>
          <w:rFonts w:eastAsia="Meiryo UI" w:cs="Times New Roman"/>
        </w:rPr>
        <w:t xml:space="preserve">. Additionally, gillnet standard error </w:t>
      </w:r>
      <w:r w:rsidR="00B33E71">
        <w:rPr>
          <w:rFonts w:eastAsia="Meiryo UI" w:cs="Times New Roman"/>
        </w:rPr>
        <w:t xml:space="preserve">for </w:t>
      </w:r>
      <w:r w:rsidR="00B31BC0">
        <w:rPr>
          <w:rFonts w:eastAsia="Meiryo UI" w:cs="Times New Roman"/>
        </w:rPr>
        <w:t xml:space="preserve">binomial </w:t>
      </w:r>
      <w:proofErr w:type="gramStart"/>
      <w:r w:rsidR="00DE6EF4">
        <w:rPr>
          <w:rFonts w:eastAsia="Meiryo UI" w:cs="Times New Roman"/>
        </w:rPr>
        <w:t>component</w:t>
      </w:r>
      <w:proofErr w:type="gramEnd"/>
      <w:r w:rsidR="00DE6EF4">
        <w:rPr>
          <w:rFonts w:eastAsia="Meiryo UI" w:cs="Times New Roman"/>
        </w:rPr>
        <w:t xml:space="preserve"> </w:t>
      </w:r>
      <w:r w:rsidR="00B31BC0">
        <w:rPr>
          <w:rFonts w:eastAsia="Meiryo UI" w:cs="Times New Roman"/>
        </w:rPr>
        <w:t>for several years were unusually large; this is likely the result of low sample size and few instances of zero-catch hauls in those years and will need to be addressed going forward. More work is necessary to further optimize the model and produce index values, so the current results are strictly preliminary.</w:t>
      </w:r>
    </w:p>
    <w:p w14:paraId="0336CFC2" w14:textId="77777777" w:rsidR="00B31BC0" w:rsidRDefault="00B31BC0" w:rsidP="00B31BC0">
      <w:pPr>
        <w:rPr>
          <w:rFonts w:eastAsia="Meiryo UI" w:cs="Times New Roman"/>
        </w:rPr>
      </w:pPr>
    </w:p>
    <w:p w14:paraId="3622B236" w14:textId="77777777" w:rsidR="008553BF" w:rsidRDefault="008553BF" w:rsidP="00B31BC0">
      <w:pPr>
        <w:rPr>
          <w:rFonts w:eastAsia="Meiryo UI" w:cs="Times New Roman"/>
        </w:rPr>
      </w:pPr>
    </w:p>
    <w:p w14:paraId="68CCF20F" w14:textId="77777777" w:rsidR="00B31BC0" w:rsidRDefault="00B31BC0" w:rsidP="00B31BC0">
      <w:pPr>
        <w:rPr>
          <w:rFonts w:eastAsia="Meiryo UI" w:cs="Times New Roman"/>
        </w:rPr>
      </w:pPr>
    </w:p>
    <w:p w14:paraId="75CEDFD4" w14:textId="77777777" w:rsidR="00D90BD7" w:rsidRDefault="00D90BD7" w:rsidP="00B31BC0">
      <w:pPr>
        <w:rPr>
          <w:rFonts w:eastAsia="Meiryo UI" w:cs="Times New Roman"/>
        </w:rPr>
      </w:pPr>
    </w:p>
    <w:p w14:paraId="196F0637" w14:textId="77777777" w:rsidR="00B31BC0" w:rsidRDefault="00B31BC0" w:rsidP="00B31BC0">
      <w:pPr>
        <w:jc w:val="center"/>
        <w:rPr>
          <w:rFonts w:eastAsia="Meiryo UI" w:cs="Times New Roman"/>
          <w:sz w:val="28"/>
          <w:szCs w:val="28"/>
        </w:rPr>
      </w:pPr>
      <w:r>
        <w:rPr>
          <w:rFonts w:eastAsia="Meiryo UI" w:cs="Times New Roman"/>
          <w:sz w:val="28"/>
          <w:szCs w:val="28"/>
        </w:rPr>
        <w:t>Introduction</w:t>
      </w:r>
    </w:p>
    <w:p w14:paraId="534E3183" w14:textId="77777777" w:rsidR="00B31BC0" w:rsidRDefault="00B31BC0" w:rsidP="00B31BC0">
      <w:pPr>
        <w:rPr>
          <w:rFonts w:eastAsia="Meiryo UI" w:cs="Times New Roman"/>
        </w:rPr>
      </w:pPr>
    </w:p>
    <w:p w14:paraId="79CE5E01" w14:textId="590A509E" w:rsidR="00B31BC0" w:rsidRDefault="00144E25" w:rsidP="00B31BC0">
      <w:pPr>
        <w:rPr>
          <w:rFonts w:cs="Times New Roman"/>
        </w:rPr>
      </w:pPr>
      <w:r>
        <w:rPr>
          <w:rFonts w:eastAsia="Meiryo UI" w:cs="Times New Roman"/>
        </w:rPr>
        <w:t xml:space="preserve">     </w:t>
      </w:r>
      <w:r w:rsidR="00B31BC0" w:rsidRPr="002F09E4">
        <w:rPr>
          <w:rFonts w:eastAsia="Meiryo UI" w:cs="Times New Roman"/>
        </w:rPr>
        <w:t xml:space="preserve">Splendid alfonsino </w:t>
      </w:r>
      <w:r w:rsidR="00B31BC0" w:rsidRPr="00483B58">
        <w:rPr>
          <w:rFonts w:eastAsia="Meiryo UI" w:cs="Times New Roman"/>
          <w:i/>
          <w:iCs/>
        </w:rPr>
        <w:t>Beryx splendens</w:t>
      </w:r>
      <w:r w:rsidR="00B31BC0" w:rsidRPr="002F09E4">
        <w:rPr>
          <w:rFonts w:eastAsia="Meiryo UI" w:cs="Times New Roman"/>
        </w:rPr>
        <w:t xml:space="preserve"> Lowe 1834 is</w:t>
      </w:r>
      <w:r w:rsidR="00B31BC0">
        <w:rPr>
          <w:rFonts w:eastAsia="Meiryo UI" w:cs="Times New Roman" w:hint="eastAsia"/>
        </w:rPr>
        <w:t xml:space="preserve"> one of the </w:t>
      </w:r>
      <w:r w:rsidR="00B31BC0">
        <w:rPr>
          <w:rFonts w:eastAsia="Meiryo UI" w:cs="Times New Roman"/>
        </w:rPr>
        <w:t>commercially</w:t>
      </w:r>
      <w:r w:rsidR="00B31BC0">
        <w:rPr>
          <w:rFonts w:eastAsia="Meiryo UI" w:cs="Times New Roman" w:hint="eastAsia"/>
        </w:rPr>
        <w:t xml:space="preserve"> </w:t>
      </w:r>
      <w:r w:rsidR="00B31BC0">
        <w:rPr>
          <w:rFonts w:eastAsia="Meiryo UI" w:cs="Times New Roman"/>
        </w:rPr>
        <w:t>important</w:t>
      </w:r>
      <w:r w:rsidR="00B31BC0">
        <w:rPr>
          <w:rFonts w:eastAsia="Meiryo UI" w:cs="Times New Roman" w:hint="eastAsia"/>
        </w:rPr>
        <w:t xml:space="preserve"> demersal fish stocks in the NPFC Convention Area, especially in the Emperor Seamounts area. As an approach to assess this stock, the SSC BF-ME and the SWG NPA-SA recommended the use of integrated model</w:t>
      </w:r>
      <w:r w:rsidR="00B31BC0" w:rsidRPr="00806FAE">
        <w:rPr>
          <w:rFonts w:eastAsia="Meiryo UI" w:cs="Times New Roman"/>
        </w:rPr>
        <w:t xml:space="preserve">ing </w:t>
      </w:r>
      <w:r w:rsidR="00B31BC0" w:rsidRPr="00B52DE6">
        <w:rPr>
          <w:rFonts w:cs="Times New Roman"/>
        </w:rPr>
        <w:t>(Sawada 2024; Small Scientific Committee on Bottom Fish and Marine Ecosystems 2024)</w:t>
      </w:r>
      <w:r w:rsidR="00B31BC0">
        <w:rPr>
          <w:rFonts w:cs="Times New Roman" w:hint="eastAsia"/>
        </w:rPr>
        <w:t>.</w:t>
      </w:r>
    </w:p>
    <w:p w14:paraId="7CF95062" w14:textId="7C0227DE" w:rsidR="00B31BC0" w:rsidRPr="00E061B6" w:rsidRDefault="00B31BC0" w:rsidP="00B31BC0">
      <w:pPr>
        <w:rPr>
          <w:rFonts w:eastAsia="Meiryo UI" w:cs="Times New Roman"/>
        </w:rPr>
      </w:pPr>
      <w:r>
        <w:rPr>
          <w:rFonts w:cs="Times New Roman"/>
        </w:rPr>
        <w:lastRenderedPageBreak/>
        <w:tab/>
      </w:r>
      <w:r>
        <w:rPr>
          <w:rFonts w:cs="Times New Roman" w:hint="eastAsia"/>
        </w:rPr>
        <w:t xml:space="preserve">Index of stock abundance is </w:t>
      </w:r>
      <w:r>
        <w:rPr>
          <w:rFonts w:cs="Times New Roman"/>
        </w:rPr>
        <w:t>an</w:t>
      </w:r>
      <w:r>
        <w:rPr>
          <w:rFonts w:cs="Times New Roman" w:hint="eastAsia"/>
        </w:rPr>
        <w:t xml:space="preserve"> important </w:t>
      </w:r>
      <w:r>
        <w:rPr>
          <w:rFonts w:cs="Times New Roman"/>
        </w:rPr>
        <w:t>metric in</w:t>
      </w:r>
      <w:r>
        <w:rPr>
          <w:rFonts w:cs="Times New Roman" w:hint="eastAsia"/>
        </w:rPr>
        <w:t xml:space="preserve"> </w:t>
      </w:r>
      <w:r>
        <w:rPr>
          <w:rFonts w:eastAsia="Meiryo UI" w:cs="Times New Roman" w:hint="eastAsia"/>
        </w:rPr>
        <w:t>integrated model</w:t>
      </w:r>
      <w:r w:rsidRPr="00A255E5">
        <w:rPr>
          <w:rFonts w:eastAsia="Meiryo UI" w:cs="Times New Roman"/>
        </w:rPr>
        <w:t>ing</w:t>
      </w:r>
      <w:r>
        <w:rPr>
          <w:rFonts w:eastAsia="Meiryo UI" w:cs="Times New Roman" w:hint="eastAsia"/>
        </w:rPr>
        <w:t xml:space="preserve">. For stocks with limited surveys, catch-per-unit-effort (CPUE) by </w:t>
      </w:r>
      <w:r>
        <w:rPr>
          <w:rFonts w:eastAsia="Meiryo UI" w:cs="Times New Roman"/>
        </w:rPr>
        <w:t>commercial</w:t>
      </w:r>
      <w:r>
        <w:rPr>
          <w:rFonts w:eastAsia="Meiryo UI" w:cs="Times New Roman" w:hint="eastAsia"/>
        </w:rPr>
        <w:t xml:space="preserve"> vessels is commonly used as such an index. </w:t>
      </w:r>
      <w:r>
        <w:rPr>
          <w:rFonts w:eastAsia="Meiryo UI" w:cs="Times New Roman"/>
        </w:rPr>
        <w:t>B</w:t>
      </w:r>
      <w:r>
        <w:rPr>
          <w:rFonts w:eastAsia="Meiryo UI" w:cs="Times New Roman" w:hint="eastAsia"/>
        </w:rPr>
        <w:t>ecause the catchability by fishing vessels often depend</w:t>
      </w:r>
      <w:r w:rsidR="005323E4">
        <w:rPr>
          <w:rFonts w:eastAsia="Meiryo UI" w:cs="Times New Roman"/>
        </w:rPr>
        <w:t>s</w:t>
      </w:r>
      <w:r>
        <w:rPr>
          <w:rFonts w:eastAsia="Meiryo UI" w:cs="Times New Roman" w:hint="eastAsia"/>
        </w:rPr>
        <w:t xml:space="preserve"> on a variety of factors, standardization of CPUE using statistical modeling is desirable </w:t>
      </w:r>
      <w:r w:rsidRPr="00E061B6">
        <w:rPr>
          <w:rFonts w:cs="Times New Roman"/>
        </w:rPr>
        <w:t>(Hoyle et al. 2024)</w:t>
      </w:r>
      <w:r>
        <w:rPr>
          <w:rFonts w:eastAsia="Meiryo UI" w:cs="Times New Roman" w:hint="eastAsia"/>
        </w:rPr>
        <w:t>.</w:t>
      </w:r>
    </w:p>
    <w:p w14:paraId="038DC1E8" w14:textId="64B86526" w:rsidR="00B31BC0" w:rsidRDefault="00B31BC0" w:rsidP="00B31BC0">
      <w:pPr>
        <w:rPr>
          <w:rFonts w:eastAsia="Meiryo UI" w:cs="Times New Roman"/>
        </w:rPr>
      </w:pPr>
      <w:r>
        <w:rPr>
          <w:rFonts w:eastAsia="Meiryo UI" w:cs="Times New Roman"/>
        </w:rPr>
        <w:t xml:space="preserve">     Here we present our initial results and methodology for calculating the standardized CPUE of splendid alfonsino caught in the Emperor Seamounts between </w:t>
      </w:r>
      <w:r w:rsidR="00A14A9A">
        <w:rPr>
          <w:rFonts w:eastAsia="Meiryo UI" w:cs="Times New Roman"/>
        </w:rPr>
        <w:t xml:space="preserve">2010 </w:t>
      </w:r>
      <w:r>
        <w:rPr>
          <w:rFonts w:eastAsia="Meiryo UI" w:cs="Times New Roman"/>
        </w:rPr>
        <w:t xml:space="preserve">and 2024. Due to ongoing analysis to improve our models, the following methodology and results must be viewed as preliminary and will undoubtedly be subject to further changes in the </w:t>
      </w:r>
      <w:r w:rsidR="00A14A9A">
        <w:rPr>
          <w:rFonts w:eastAsia="Meiryo UI" w:cs="Times New Roman"/>
        </w:rPr>
        <w:t>future</w:t>
      </w:r>
      <w:r>
        <w:rPr>
          <w:rFonts w:eastAsia="Meiryo UI" w:cs="Times New Roman"/>
        </w:rPr>
        <w:t>.</w:t>
      </w:r>
    </w:p>
    <w:p w14:paraId="70548FF5" w14:textId="77777777" w:rsidR="00B31BC0" w:rsidRDefault="00B31BC0" w:rsidP="00B31BC0">
      <w:pPr>
        <w:rPr>
          <w:rFonts w:eastAsia="Meiryo UI" w:cs="Times New Roman"/>
        </w:rPr>
      </w:pPr>
      <w:r>
        <w:rPr>
          <w:rFonts w:eastAsia="Meiryo UI" w:cs="Times New Roman"/>
        </w:rPr>
        <w:t xml:space="preserve">  </w:t>
      </w:r>
    </w:p>
    <w:p w14:paraId="46EC0E84" w14:textId="77777777" w:rsidR="008553BF" w:rsidRDefault="008553BF" w:rsidP="00B31BC0">
      <w:pPr>
        <w:rPr>
          <w:rFonts w:eastAsia="Meiryo UI" w:cs="Times New Roman"/>
        </w:rPr>
      </w:pPr>
    </w:p>
    <w:p w14:paraId="7723B06C" w14:textId="77777777" w:rsidR="00B31BC0" w:rsidRDefault="00B31BC0" w:rsidP="00B31BC0">
      <w:pPr>
        <w:rPr>
          <w:rFonts w:eastAsia="Meiryo UI" w:cs="Times New Roman"/>
        </w:rPr>
      </w:pPr>
    </w:p>
    <w:p w14:paraId="5960DE11" w14:textId="77777777" w:rsidR="006F18A3" w:rsidRPr="005C65F3" w:rsidRDefault="006F18A3" w:rsidP="00B31BC0">
      <w:pPr>
        <w:rPr>
          <w:rFonts w:eastAsia="Meiryo UI" w:cs="Times New Roman"/>
        </w:rPr>
      </w:pPr>
    </w:p>
    <w:p w14:paraId="2F341A58" w14:textId="77777777" w:rsidR="00B31BC0" w:rsidRDefault="00B31BC0" w:rsidP="00B31BC0">
      <w:pPr>
        <w:jc w:val="center"/>
        <w:rPr>
          <w:rFonts w:eastAsia="Meiryo UI" w:cs="Times New Roman"/>
          <w:sz w:val="28"/>
          <w:szCs w:val="28"/>
        </w:rPr>
      </w:pPr>
      <w:r>
        <w:rPr>
          <w:rFonts w:eastAsia="Meiryo UI" w:cs="Times New Roman"/>
          <w:sz w:val="28"/>
          <w:szCs w:val="28"/>
        </w:rPr>
        <w:t>Materials and Methods</w:t>
      </w:r>
    </w:p>
    <w:p w14:paraId="7CE3663A" w14:textId="1171D2F8" w:rsidR="00B31BC0" w:rsidRDefault="00B31BC0" w:rsidP="00B31BC0">
      <w:pPr>
        <w:rPr>
          <w:rFonts w:eastAsia="Meiryo UI" w:cs="Times New Roman"/>
        </w:rPr>
      </w:pPr>
      <w:r>
        <w:rPr>
          <w:rFonts w:eastAsia="Meiryo UI" w:cs="Times New Roman"/>
        </w:rPr>
        <w:t xml:space="preserve">    </w:t>
      </w:r>
      <w:r>
        <w:rPr>
          <w:rFonts w:eastAsia="Meiryo UI" w:cs="Times New Roman" w:hint="eastAsia"/>
        </w:rPr>
        <w:t>Scientific observer data from Japanese fishing vessels was used in this analysis.</w:t>
      </w:r>
      <w:r>
        <w:rPr>
          <w:rFonts w:eastAsia="Meiryo UI" w:cs="Times New Roman"/>
        </w:rPr>
        <w:t xml:space="preserve"> </w:t>
      </w:r>
      <w:r>
        <w:rPr>
          <w:rFonts w:eastAsia="Meiryo UI" w:cs="Times New Roman" w:hint="eastAsia"/>
        </w:rPr>
        <w:t>Data</w:t>
      </w:r>
      <w:r>
        <w:rPr>
          <w:rFonts w:eastAsia="Meiryo UI" w:cs="Times New Roman"/>
        </w:rPr>
        <w:t xml:space="preserve"> w</w:t>
      </w:r>
      <w:r>
        <w:rPr>
          <w:rFonts w:eastAsia="Meiryo UI" w:cs="Times New Roman" w:hint="eastAsia"/>
        </w:rPr>
        <w:t>as</w:t>
      </w:r>
      <w:r>
        <w:rPr>
          <w:rFonts w:eastAsia="Meiryo UI" w:cs="Times New Roman"/>
        </w:rPr>
        <w:t xml:space="preserve"> separated by gear type</w:t>
      </w:r>
      <w:r>
        <w:rPr>
          <w:rFonts w:eastAsia="Meiryo UI" w:cs="Times New Roman" w:hint="eastAsia"/>
        </w:rPr>
        <w:t xml:space="preserve"> (bottom trawl and bottom gillnet)</w:t>
      </w:r>
      <w:r>
        <w:rPr>
          <w:rFonts w:eastAsia="Meiryo UI" w:cs="Times New Roman"/>
        </w:rPr>
        <w:t xml:space="preserve"> </w:t>
      </w:r>
      <w:r>
        <w:rPr>
          <w:rFonts w:eastAsia="Meiryo UI" w:cs="Times New Roman" w:hint="eastAsia"/>
        </w:rPr>
        <w:t xml:space="preserve">because of different units of effort metrics (towing time or number of panels retrieved) and different selectivity </w:t>
      </w:r>
      <w:r w:rsidRPr="00CF3349">
        <w:rPr>
          <w:rFonts w:cs="Times New Roman"/>
        </w:rPr>
        <w:t>(Pons et al. 2024)</w:t>
      </w:r>
      <w:r>
        <w:rPr>
          <w:rFonts w:eastAsia="Meiryo UI" w:cs="Times New Roman"/>
        </w:rPr>
        <w:t>.Additionally, we only used fishery data where splendid alfonsino was the target species of the haul</w:t>
      </w:r>
      <w:r>
        <w:rPr>
          <w:rFonts w:eastAsia="Meiryo UI" w:cs="Times New Roman" w:hint="eastAsia"/>
        </w:rPr>
        <w:t xml:space="preserve"> (based on the intended target species recorded by observers)</w:t>
      </w:r>
      <w:r>
        <w:rPr>
          <w:rFonts w:eastAsia="Meiryo UI" w:cs="Times New Roman"/>
        </w:rPr>
        <w:t xml:space="preserve">, this is because including hauls where splendid alfonsino was caught in low numbers as bycatch would bias CPUE calculations. For the trawl fishery, we used 8143 recorded hauls taken between 2009 and 2024 from 7 different </w:t>
      </w:r>
      <w:r w:rsidR="00212586">
        <w:rPr>
          <w:rFonts w:eastAsia="Meiryo UI" w:cs="Times New Roman"/>
        </w:rPr>
        <w:t>vessels fishing</w:t>
      </w:r>
      <w:r>
        <w:rPr>
          <w:rFonts w:eastAsia="Meiryo UI" w:cs="Times New Roman"/>
        </w:rPr>
        <w:t xml:space="preserve"> at the seamounts </w:t>
      </w:r>
      <w:r w:rsidRPr="00B259F2">
        <w:rPr>
          <w:rFonts w:eastAsia="Meiryo UI" w:cs="Times New Roman"/>
        </w:rPr>
        <w:t>Colahan, Kammu, Kinmei, Koko, North Koko, and Yuryaku</w:t>
      </w:r>
      <w:r>
        <w:rPr>
          <w:rFonts w:eastAsia="Meiryo UI" w:cs="Times New Roman"/>
        </w:rPr>
        <w:t>. Trawl CPUE was calculated based on catch weight (kg) per haul time (hours), mean annual CPUE was used to compare vessels over time (fig. 1). While we have data available for 2009, for our analysis 2009 was omitted due to lack</w:t>
      </w:r>
      <w:r w:rsidR="00212586">
        <w:rPr>
          <w:rFonts w:eastAsia="Meiryo UI" w:cs="Times New Roman"/>
        </w:rPr>
        <w:t xml:space="preserve"> of</w:t>
      </w:r>
      <w:r>
        <w:rPr>
          <w:rFonts w:eastAsia="Meiryo UI" w:cs="Times New Roman"/>
        </w:rPr>
        <w:t xml:space="preserve"> </w:t>
      </w:r>
      <w:r>
        <w:rPr>
          <w:rFonts w:eastAsia="Meiryo UI" w:cs="Times New Roman" w:hint="eastAsia"/>
        </w:rPr>
        <w:t>observer data</w:t>
      </w:r>
      <w:r>
        <w:rPr>
          <w:rFonts w:eastAsia="Meiryo UI" w:cs="Times New Roman"/>
        </w:rPr>
        <w:t xml:space="preserve"> in the first half of 2009, which could bias the results of our models. For gillnet,</w:t>
      </w:r>
      <w:r>
        <w:rPr>
          <w:rFonts w:eastAsia="Meiryo UI" w:cs="Times New Roman" w:hint="eastAsia"/>
        </w:rPr>
        <w:t xml:space="preserve"> amounts of catch were recorded </w:t>
      </w:r>
      <w:r>
        <w:rPr>
          <w:rFonts w:eastAsia="Meiryo UI" w:cs="Times New Roman"/>
        </w:rPr>
        <w:t>daily</w:t>
      </w:r>
      <w:r>
        <w:rPr>
          <w:rFonts w:eastAsia="Meiryo UI" w:cs="Times New Roman" w:hint="eastAsia"/>
        </w:rPr>
        <w:t xml:space="preserve"> or on set-by-set basis in 2009-2017 and in 2018-present, respectively. We converted set-by-set data into daily data by summing up catch and </w:t>
      </w:r>
      <w:r>
        <w:rPr>
          <w:rFonts w:eastAsia="Meiryo UI" w:cs="Times New Roman"/>
        </w:rPr>
        <w:t>effort</w:t>
      </w:r>
      <w:r>
        <w:rPr>
          <w:rFonts w:eastAsia="Meiryo UI" w:cs="Times New Roman" w:hint="eastAsia"/>
        </w:rPr>
        <w:t xml:space="preserve"> per day and </w:t>
      </w:r>
      <w:r>
        <w:rPr>
          <w:rFonts w:eastAsia="Meiryo UI" w:cs="Times New Roman"/>
        </w:rPr>
        <w:t>used</w:t>
      </w:r>
      <w:r>
        <w:rPr>
          <w:rFonts w:eastAsia="Meiryo UI" w:cs="Times New Roman" w:hint="eastAsia"/>
        </w:rPr>
        <w:t xml:space="preserve"> daily data throughout the period, to obtain a longer time series, after confirming that this </w:t>
      </w:r>
      <w:r>
        <w:rPr>
          <w:rFonts w:eastAsia="Meiryo UI" w:cs="Times New Roman"/>
        </w:rPr>
        <w:t>aggregation</w:t>
      </w:r>
      <w:r>
        <w:rPr>
          <w:rFonts w:eastAsia="Meiryo UI" w:cs="Times New Roman" w:hint="eastAsia"/>
        </w:rPr>
        <w:t xml:space="preserve"> d</w:t>
      </w:r>
      <w:r>
        <w:rPr>
          <w:rFonts w:eastAsia="Meiryo UI" w:cs="Times New Roman"/>
        </w:rPr>
        <w:t>id</w:t>
      </w:r>
      <w:r>
        <w:rPr>
          <w:rFonts w:eastAsia="Meiryo UI" w:cs="Times New Roman" w:hint="eastAsia"/>
        </w:rPr>
        <w:t xml:space="preserve"> not significantly affect CPUE trend since 2018. As a result of this aggregation, targeting information cannot be used for gillnet analysis.</w:t>
      </w:r>
      <w:r>
        <w:rPr>
          <w:rFonts w:eastAsia="Meiryo UI" w:cs="Times New Roman"/>
        </w:rPr>
        <w:t xml:space="preserve"> With this method, we can use data from 1452 recorded </w:t>
      </w:r>
      <w:r>
        <w:rPr>
          <w:rFonts w:eastAsia="Meiryo UI" w:cs="Times New Roman" w:hint="eastAsia"/>
        </w:rPr>
        <w:t>fishing days</w:t>
      </w:r>
      <w:r>
        <w:rPr>
          <w:rFonts w:eastAsia="Meiryo UI" w:cs="Times New Roman"/>
        </w:rPr>
        <w:t xml:space="preserve"> between 2010 and 2024 in the analysis (fig. 2). Fishing was conducted at the seamounts </w:t>
      </w:r>
      <w:r w:rsidRPr="00DC1770">
        <w:rPr>
          <w:rFonts w:eastAsia="Meiryo UI" w:cs="Times New Roman"/>
        </w:rPr>
        <w:t xml:space="preserve">Colahan, Jingu, Kammu, Kinmei, Koko, North Koko, </w:t>
      </w:r>
      <w:proofErr w:type="spellStart"/>
      <w:r w:rsidRPr="00DC1770">
        <w:rPr>
          <w:rFonts w:eastAsia="Meiryo UI" w:cs="Times New Roman"/>
        </w:rPr>
        <w:t>Nintoku</w:t>
      </w:r>
      <w:proofErr w:type="spellEnd"/>
      <w:r w:rsidRPr="00DC1770">
        <w:rPr>
          <w:rFonts w:eastAsia="Meiryo UI" w:cs="Times New Roman"/>
        </w:rPr>
        <w:t xml:space="preserve">, Suiko and </w:t>
      </w:r>
      <w:proofErr w:type="spellStart"/>
      <w:r w:rsidRPr="00DC1770">
        <w:rPr>
          <w:rFonts w:eastAsia="Meiryo UI" w:cs="Times New Roman"/>
        </w:rPr>
        <w:t>Yuryaku</w:t>
      </w:r>
      <w:proofErr w:type="spellEnd"/>
      <w:r>
        <w:rPr>
          <w:rFonts w:eastAsia="Meiryo UI" w:cs="Times New Roman"/>
        </w:rPr>
        <w:t>. While 2 gillnet fishing vessels were active during this period,</w:t>
      </w:r>
      <w:r>
        <w:rPr>
          <w:rFonts w:eastAsia="Meiryo UI" w:cs="Times New Roman" w:hint="eastAsia"/>
        </w:rPr>
        <w:t xml:space="preserve"> one is the replacement of the other and both are operated by mostly the same crew</w:t>
      </w:r>
      <w:r>
        <w:rPr>
          <w:rFonts w:eastAsia="Meiryo UI" w:cs="Times New Roman"/>
        </w:rPr>
        <w:t xml:space="preserve">. </w:t>
      </w:r>
      <w:r>
        <w:rPr>
          <w:rFonts w:eastAsia="Meiryo UI" w:cs="Times New Roman" w:hint="eastAsia"/>
        </w:rPr>
        <w:t>As a result, th</w:t>
      </w:r>
      <w:r>
        <w:rPr>
          <w:rFonts w:eastAsia="Meiryo UI" w:cs="Times New Roman"/>
        </w:rPr>
        <w:t>e</w:t>
      </w:r>
      <w:r>
        <w:rPr>
          <w:rFonts w:eastAsia="Meiryo UI" w:cs="Times New Roman" w:hint="eastAsia"/>
        </w:rPr>
        <w:t>se vessels never operated in the same year. Therefore</w:t>
      </w:r>
      <w:r>
        <w:rPr>
          <w:rFonts w:eastAsia="Meiryo UI" w:cs="Times New Roman"/>
        </w:rPr>
        <w:t>,</w:t>
      </w:r>
      <w:r>
        <w:rPr>
          <w:rFonts w:eastAsia="Meiryo UI" w:cs="Times New Roman" w:hint="eastAsia"/>
        </w:rPr>
        <w:t xml:space="preserve"> we did not include vessels as a factor in the gillnet analysis.</w:t>
      </w:r>
    </w:p>
    <w:p w14:paraId="3AD5AB1E" w14:textId="77777777" w:rsidR="00B31BC0" w:rsidRDefault="00B31BC0" w:rsidP="00B31BC0">
      <w:pPr>
        <w:rPr>
          <w:rFonts w:eastAsia="Meiryo UI" w:cs="Times New Roman"/>
        </w:rPr>
      </w:pPr>
      <w:r>
        <w:rPr>
          <w:rFonts w:eastAsia="Meiryo UI" w:cs="Times New Roman"/>
        </w:rPr>
        <w:t xml:space="preserve">     </w:t>
      </w:r>
      <w:proofErr w:type="gramStart"/>
      <w:r>
        <w:rPr>
          <w:rFonts w:eastAsia="Meiryo UI" w:cs="Times New Roman"/>
        </w:rPr>
        <w:t>At</w:t>
      </w:r>
      <w:proofErr w:type="gramEnd"/>
      <w:r>
        <w:rPr>
          <w:rFonts w:eastAsia="Meiryo UI" w:cs="Times New Roman"/>
        </w:rPr>
        <w:t xml:space="preserve"> the recommendation of other members of the working group, we decided to use a delta-gamma model utilizing the sdmTMB package (</w:t>
      </w:r>
      <w:r w:rsidRPr="006A6A92">
        <w:rPr>
          <w:rFonts w:eastAsia="Meiryo UI" w:cs="Times New Roman"/>
        </w:rPr>
        <w:t>Anderson</w:t>
      </w:r>
      <w:r>
        <w:rPr>
          <w:rFonts w:eastAsia="Meiryo UI" w:cs="Times New Roman"/>
        </w:rPr>
        <w:t xml:space="preserve"> et al 2024), with a logit link and a log link. For the model, we set the </w:t>
      </w:r>
      <w:r w:rsidRPr="00B55A6E">
        <w:rPr>
          <w:rFonts w:eastAsia="Meiryo UI" w:cs="Times New Roman"/>
        </w:rPr>
        <w:t xml:space="preserve">response variable as CPUE, the explanatory variable as year, and </w:t>
      </w:r>
      <w:r w:rsidRPr="00B55A6E">
        <w:rPr>
          <w:rFonts w:eastAsia="Meiryo UI" w:cs="Times New Roman"/>
        </w:rPr>
        <w:lastRenderedPageBreak/>
        <w:t>seamount</w:t>
      </w:r>
      <w:r>
        <w:rPr>
          <w:rFonts w:eastAsia="Meiryo UI" w:cs="Times New Roman"/>
        </w:rPr>
        <w:t xml:space="preserve"> and vessel (trawl only)</w:t>
      </w:r>
      <w:r w:rsidRPr="00B55A6E">
        <w:rPr>
          <w:rFonts w:eastAsia="Meiryo UI" w:cs="Times New Roman"/>
        </w:rPr>
        <w:t xml:space="preserve"> as random effects</w:t>
      </w:r>
      <w:r>
        <w:rPr>
          <w:rFonts w:eastAsia="Meiryo UI" w:cs="Times New Roman"/>
        </w:rPr>
        <w:t xml:space="preserve"> to account for differences in fishing conditions or practices. These parameters produced the best model fit as indicated by quantile-quantile (QQ) plot. </w:t>
      </w:r>
      <w:r w:rsidRPr="006A28FA">
        <w:rPr>
          <w:rFonts w:eastAsia="Meiryo UI" w:cs="Times New Roman"/>
        </w:rPr>
        <w:t xml:space="preserve"> </w:t>
      </w:r>
    </w:p>
    <w:p w14:paraId="3212750B" w14:textId="77777777" w:rsidR="00B31BC0" w:rsidRDefault="00B31BC0" w:rsidP="00B31BC0">
      <w:pPr>
        <w:rPr>
          <w:rFonts w:eastAsia="Meiryo UI" w:cs="Times New Roman"/>
        </w:rPr>
      </w:pPr>
    </w:p>
    <w:p w14:paraId="469F588B" w14:textId="77777777" w:rsidR="00DC6078" w:rsidRDefault="00DC6078" w:rsidP="00B31BC0">
      <w:pPr>
        <w:rPr>
          <w:rFonts w:eastAsia="Meiryo UI" w:cs="Times New Roman"/>
        </w:rPr>
      </w:pPr>
    </w:p>
    <w:p w14:paraId="1D38A346" w14:textId="77777777" w:rsidR="008553BF" w:rsidRDefault="008553BF" w:rsidP="00B31BC0">
      <w:pPr>
        <w:rPr>
          <w:rFonts w:eastAsia="Meiryo UI" w:cs="Times New Roman"/>
        </w:rPr>
      </w:pPr>
    </w:p>
    <w:p w14:paraId="0920E3FE" w14:textId="77777777" w:rsidR="00B31BC0" w:rsidRPr="005C65F3" w:rsidRDefault="00B31BC0" w:rsidP="00B31BC0">
      <w:pPr>
        <w:rPr>
          <w:rFonts w:eastAsia="Meiryo UI" w:cs="Times New Roman"/>
        </w:rPr>
      </w:pPr>
    </w:p>
    <w:p w14:paraId="4DD73534" w14:textId="77777777" w:rsidR="00B31BC0" w:rsidRDefault="00B31BC0" w:rsidP="00B31BC0">
      <w:pPr>
        <w:jc w:val="center"/>
        <w:rPr>
          <w:rFonts w:eastAsia="Meiryo UI" w:cs="Times New Roman"/>
          <w:sz w:val="28"/>
          <w:szCs w:val="28"/>
        </w:rPr>
      </w:pPr>
      <w:r>
        <w:rPr>
          <w:rFonts w:eastAsia="Meiryo UI" w:cs="Times New Roman"/>
          <w:sz w:val="28"/>
          <w:szCs w:val="28"/>
        </w:rPr>
        <w:t>Results and Discussion</w:t>
      </w:r>
    </w:p>
    <w:p w14:paraId="5420F2FE" w14:textId="4865A35E" w:rsidR="00B31BC0" w:rsidRDefault="00B31BC0" w:rsidP="00B31BC0">
      <w:pPr>
        <w:rPr>
          <w:rFonts w:eastAsia="Meiryo UI" w:cs="Times New Roman"/>
        </w:rPr>
      </w:pPr>
      <w:r>
        <w:rPr>
          <w:rFonts w:eastAsia="Meiryo UI" w:cs="Times New Roman"/>
        </w:rPr>
        <w:t xml:space="preserve">     We found our delta-gamma models fit the data well for both trawl and gillnet, with QQ plots indicating that there was little deviation </w:t>
      </w:r>
      <w:r w:rsidR="00DA192E">
        <w:rPr>
          <w:rFonts w:eastAsia="Meiryo UI" w:cs="Times New Roman"/>
        </w:rPr>
        <w:t>in model re</w:t>
      </w:r>
      <w:r w:rsidR="00461ADE">
        <w:rPr>
          <w:rFonts w:eastAsia="Meiryo UI" w:cs="Times New Roman"/>
        </w:rPr>
        <w:t>siduals</w:t>
      </w:r>
      <w:r>
        <w:rPr>
          <w:rFonts w:eastAsia="Meiryo UI" w:cs="Times New Roman"/>
        </w:rPr>
        <w:t xml:space="preserve"> (fig. 3 and 4). While no particularly unusual values were observed from the trawl sdmTMB, the gillnet results found unusually large standard error values for the years 2012, 2013, 2015, 2016, and 2017 in the binomial logit link portion of the delta-gamma model (Table 1). This is related to low sample sizes and few instances of zero-catch hauls during those years and may be remedied by modifying the model to </w:t>
      </w:r>
      <w:proofErr w:type="gramStart"/>
      <w:r>
        <w:rPr>
          <w:rFonts w:eastAsia="Meiryo UI" w:cs="Times New Roman"/>
        </w:rPr>
        <w:t>including</w:t>
      </w:r>
      <w:proofErr w:type="gramEnd"/>
      <w:r>
        <w:rPr>
          <w:rFonts w:eastAsia="Meiryo UI" w:cs="Times New Roman"/>
        </w:rPr>
        <w:t xml:space="preserve"> hauls targeting other species. Currently, due to issues with coding, we have yet to obtain index values </w:t>
      </w:r>
      <w:r w:rsidR="00461ADE">
        <w:rPr>
          <w:rFonts w:eastAsia="Meiryo UI" w:cs="Times New Roman"/>
        </w:rPr>
        <w:t>from two compon</w:t>
      </w:r>
      <w:r w:rsidR="000F5D7B">
        <w:rPr>
          <w:rFonts w:eastAsia="Meiryo UI" w:cs="Times New Roman"/>
        </w:rPr>
        <w:t>ents of the delta model combined</w:t>
      </w:r>
      <w:r>
        <w:rPr>
          <w:rFonts w:eastAsia="Meiryo UI" w:cs="Times New Roman"/>
        </w:rPr>
        <w:t xml:space="preserve">, and so the coefficients of variation (CV) are not yet available.  </w:t>
      </w:r>
    </w:p>
    <w:p w14:paraId="0F16D1B8" w14:textId="347D157B" w:rsidR="00B31BC0" w:rsidRDefault="00B31BC0" w:rsidP="00B31BC0">
      <w:pPr>
        <w:rPr>
          <w:rFonts w:eastAsia="Meiryo UI" w:cs="Times New Roman"/>
        </w:rPr>
      </w:pPr>
      <w:r>
        <w:rPr>
          <w:rFonts w:eastAsia="Meiryo UI" w:cs="Times New Roman"/>
        </w:rPr>
        <w:t xml:space="preserve">     Though seemingly straight forward, our attempts at standardizing CPUE have met with various setbacks to date, generally related to coding. </w:t>
      </w:r>
      <w:proofErr w:type="gramStart"/>
      <w:r w:rsidR="005349F7">
        <w:rPr>
          <w:rFonts w:eastAsia="Meiryo UI" w:cs="Times New Roman"/>
        </w:rPr>
        <w:t>In</w:t>
      </w:r>
      <w:r w:rsidR="00453F3C">
        <w:rPr>
          <w:rFonts w:eastAsia="Meiryo UI" w:cs="Times New Roman"/>
        </w:rPr>
        <w:t xml:space="preserve"> particular,</w:t>
      </w:r>
      <w:r w:rsidR="005349F7">
        <w:rPr>
          <w:rFonts w:eastAsia="Meiryo UI" w:cs="Times New Roman" w:hint="eastAsia"/>
        </w:rPr>
        <w:t xml:space="preserve"> we</w:t>
      </w:r>
      <w:proofErr w:type="gramEnd"/>
      <w:r w:rsidR="005349F7">
        <w:rPr>
          <w:rFonts w:eastAsia="Meiryo UI" w:cs="Times New Roman" w:hint="eastAsia"/>
        </w:rPr>
        <w:t xml:space="preserve"> were not successful in obtaining a single time series of standardized CPUE by combining two components of the delta model, from the output object of </w:t>
      </w:r>
      <w:proofErr w:type="spellStart"/>
      <w:r w:rsidR="005349F7">
        <w:rPr>
          <w:rFonts w:eastAsia="Meiryo UI" w:cs="Times New Roman" w:hint="eastAsia"/>
        </w:rPr>
        <w:t>sdmTMB</w:t>
      </w:r>
      <w:proofErr w:type="spellEnd"/>
      <w:r w:rsidR="005349F7">
        <w:rPr>
          <w:rFonts w:eastAsia="Meiryo UI" w:cs="Times New Roman" w:hint="eastAsia"/>
        </w:rPr>
        <w:t>.</w:t>
      </w:r>
      <w:r>
        <w:rPr>
          <w:rFonts w:eastAsia="Meiryo UI" w:cs="Times New Roman"/>
        </w:rPr>
        <w:t xml:space="preserve"> Going forward, our </w:t>
      </w:r>
      <w:proofErr w:type="gramStart"/>
      <w:r>
        <w:rPr>
          <w:rFonts w:eastAsia="Meiryo UI" w:cs="Times New Roman"/>
        </w:rPr>
        <w:t>first priority</w:t>
      </w:r>
      <w:proofErr w:type="gramEnd"/>
      <w:r>
        <w:rPr>
          <w:rFonts w:eastAsia="Meiryo UI" w:cs="Times New Roman"/>
        </w:rPr>
        <w:t xml:space="preserve"> is to resolve this coding issue and calculate index values such as CV, while also looking to better optimize the existing model to account for the unusually large gillnet standard error</w:t>
      </w:r>
      <w:r w:rsidR="00453F3C">
        <w:rPr>
          <w:rFonts w:eastAsia="Meiryo UI" w:cs="Times New Roman"/>
        </w:rPr>
        <w:t>s in the gillnet model</w:t>
      </w:r>
      <w:r>
        <w:rPr>
          <w:rFonts w:eastAsia="Meiryo UI" w:cs="Times New Roman"/>
        </w:rPr>
        <w:t xml:space="preserve">. </w:t>
      </w:r>
    </w:p>
    <w:p w14:paraId="79783258" w14:textId="77777777" w:rsidR="00B31BC0" w:rsidRDefault="00B31BC0" w:rsidP="00B31BC0">
      <w:pPr>
        <w:rPr>
          <w:rFonts w:eastAsia="Meiryo UI" w:cs="Times New Roman"/>
        </w:rPr>
      </w:pPr>
    </w:p>
    <w:p w14:paraId="13304425" w14:textId="77777777" w:rsidR="00B31BC0" w:rsidRDefault="00B31BC0" w:rsidP="00B31BC0">
      <w:pPr>
        <w:rPr>
          <w:rFonts w:eastAsia="Meiryo UI" w:cs="Times New Roman"/>
        </w:rPr>
      </w:pPr>
    </w:p>
    <w:p w14:paraId="7930744B" w14:textId="77777777" w:rsidR="008553BF" w:rsidRDefault="008553BF" w:rsidP="00B31BC0">
      <w:pPr>
        <w:rPr>
          <w:rFonts w:eastAsia="Meiryo UI" w:cs="Times New Roman"/>
        </w:rPr>
      </w:pPr>
    </w:p>
    <w:p w14:paraId="05F6BB87" w14:textId="77777777" w:rsidR="008553BF" w:rsidRPr="005C65F3" w:rsidRDefault="008553BF" w:rsidP="00B31BC0">
      <w:pPr>
        <w:rPr>
          <w:rFonts w:eastAsia="Meiryo UI" w:cs="Times New Roman"/>
        </w:rPr>
      </w:pPr>
    </w:p>
    <w:p w14:paraId="3DB301C1" w14:textId="77777777" w:rsidR="00B31BC0" w:rsidRDefault="00B31BC0" w:rsidP="00B31BC0">
      <w:pPr>
        <w:jc w:val="center"/>
        <w:rPr>
          <w:rFonts w:eastAsia="Meiryo UI" w:cs="Times New Roman"/>
          <w:sz w:val="28"/>
          <w:szCs w:val="28"/>
        </w:rPr>
      </w:pPr>
      <w:r>
        <w:rPr>
          <w:rFonts w:eastAsia="Meiryo UI" w:cs="Times New Roman"/>
          <w:sz w:val="28"/>
          <w:szCs w:val="28"/>
        </w:rPr>
        <w:t>Acknowledgements</w:t>
      </w:r>
    </w:p>
    <w:p w14:paraId="17571970" w14:textId="77777777" w:rsidR="00B31BC0" w:rsidRPr="00C276CA" w:rsidRDefault="00B31BC0" w:rsidP="00B31BC0">
      <w:pPr>
        <w:rPr>
          <w:rFonts w:eastAsia="Meiryo UI" w:cs="Times New Roman"/>
        </w:rPr>
      </w:pPr>
      <w:r>
        <w:rPr>
          <w:rFonts w:eastAsia="Meiryo UI" w:cs="Times New Roman"/>
        </w:rPr>
        <w:t xml:space="preserve">     </w:t>
      </w:r>
      <w:r w:rsidRPr="00636DE5">
        <w:rPr>
          <w:rFonts w:eastAsia="Meiryo UI" w:cs="Times New Roman"/>
        </w:rPr>
        <w:t>This work is conducted as part of the research and assessment program for fisheries resources, the Fisheries Agency of Japan, and submitted under the approval of the Agency. We thank the participants of the SWG NPA-SA for their helpful comments and constructive discussions. We would also like to thank the fisheries personnel and observers through whose effort fish data could be collected.</w:t>
      </w:r>
    </w:p>
    <w:p w14:paraId="0377ACBE" w14:textId="77777777" w:rsidR="00B31BC0" w:rsidRDefault="00B31BC0" w:rsidP="00B31BC0">
      <w:pPr>
        <w:rPr>
          <w:rFonts w:eastAsia="Meiryo UI" w:cs="Times New Roman"/>
        </w:rPr>
      </w:pPr>
    </w:p>
    <w:p w14:paraId="3386BC42" w14:textId="77777777" w:rsidR="008553BF" w:rsidRDefault="008553BF" w:rsidP="00B31BC0">
      <w:pPr>
        <w:rPr>
          <w:rFonts w:eastAsia="Meiryo UI" w:cs="Times New Roman"/>
        </w:rPr>
      </w:pPr>
    </w:p>
    <w:p w14:paraId="212A9A57" w14:textId="77777777" w:rsidR="00B31BC0" w:rsidRDefault="00B31BC0" w:rsidP="00B31BC0">
      <w:pPr>
        <w:rPr>
          <w:rFonts w:eastAsia="Meiryo UI" w:cs="Times New Roman"/>
        </w:rPr>
      </w:pPr>
    </w:p>
    <w:p w14:paraId="139A8823" w14:textId="77777777" w:rsidR="00344255" w:rsidRDefault="00344255" w:rsidP="00B31BC0">
      <w:pPr>
        <w:rPr>
          <w:rFonts w:eastAsia="Meiryo UI" w:cs="Times New Roman"/>
        </w:rPr>
      </w:pPr>
    </w:p>
    <w:p w14:paraId="0FD9DD9A" w14:textId="77777777" w:rsidR="00344255" w:rsidRPr="00C276CA" w:rsidRDefault="00344255" w:rsidP="00B31BC0">
      <w:pPr>
        <w:rPr>
          <w:rFonts w:eastAsia="Meiryo UI" w:cs="Times New Roman"/>
        </w:rPr>
      </w:pPr>
    </w:p>
    <w:p w14:paraId="7A6FC09C" w14:textId="77777777" w:rsidR="00B31BC0" w:rsidRDefault="00B31BC0" w:rsidP="00B31BC0">
      <w:pPr>
        <w:jc w:val="center"/>
        <w:rPr>
          <w:rFonts w:eastAsia="Meiryo UI" w:cs="Times New Roman"/>
          <w:sz w:val="28"/>
          <w:szCs w:val="28"/>
        </w:rPr>
      </w:pPr>
      <w:r>
        <w:rPr>
          <w:rFonts w:eastAsia="Meiryo UI" w:cs="Times New Roman"/>
          <w:sz w:val="28"/>
          <w:szCs w:val="28"/>
        </w:rPr>
        <w:lastRenderedPageBreak/>
        <w:t>References</w:t>
      </w:r>
    </w:p>
    <w:p w14:paraId="2C3D2C0A" w14:textId="77777777" w:rsidR="00B31BC0" w:rsidRDefault="00B31BC0" w:rsidP="00B31BC0">
      <w:pPr>
        <w:rPr>
          <w:rFonts w:eastAsia="Meiryo UI" w:cs="Times New Roman"/>
        </w:rPr>
      </w:pPr>
    </w:p>
    <w:p w14:paraId="3FDF8B5A" w14:textId="77777777" w:rsidR="003D0988" w:rsidRDefault="003D0988" w:rsidP="00B31BC0">
      <w:pPr>
        <w:rPr>
          <w:rFonts w:eastAsia="Meiryo UI" w:cs="Times New Roman"/>
        </w:rPr>
      </w:pPr>
    </w:p>
    <w:p w14:paraId="60D080A4" w14:textId="02E0B277" w:rsidR="003D0988" w:rsidRDefault="00CF15A6" w:rsidP="005A58E9">
      <w:pPr>
        <w:ind w:left="720" w:hanging="720"/>
        <w:rPr>
          <w:rFonts w:eastAsia="Meiryo UI" w:cs="Times New Roman"/>
        </w:rPr>
      </w:pPr>
      <w:r w:rsidRPr="006A6A92">
        <w:rPr>
          <w:rFonts w:eastAsia="Meiryo UI" w:cs="Times New Roman"/>
        </w:rPr>
        <w:t>Anderson S</w:t>
      </w:r>
      <w:r>
        <w:rPr>
          <w:rFonts w:eastAsia="Meiryo UI" w:cs="Times New Roman"/>
        </w:rPr>
        <w:t>.</w:t>
      </w:r>
      <w:r w:rsidRPr="006A6A92">
        <w:rPr>
          <w:rFonts w:eastAsia="Meiryo UI" w:cs="Times New Roman"/>
        </w:rPr>
        <w:t>C</w:t>
      </w:r>
      <w:r>
        <w:rPr>
          <w:rFonts w:eastAsia="Meiryo UI" w:cs="Times New Roman"/>
        </w:rPr>
        <w:t>.</w:t>
      </w:r>
      <w:r w:rsidRPr="006A6A92">
        <w:rPr>
          <w:rFonts w:eastAsia="Meiryo UI" w:cs="Times New Roman"/>
        </w:rPr>
        <w:t>, Ward E</w:t>
      </w:r>
      <w:r>
        <w:rPr>
          <w:rFonts w:eastAsia="Meiryo UI" w:cs="Times New Roman"/>
        </w:rPr>
        <w:t>.</w:t>
      </w:r>
      <w:r w:rsidRPr="006A6A92">
        <w:rPr>
          <w:rFonts w:eastAsia="Meiryo UI" w:cs="Times New Roman"/>
        </w:rPr>
        <w:t>J</w:t>
      </w:r>
      <w:r>
        <w:rPr>
          <w:rFonts w:eastAsia="Meiryo UI" w:cs="Times New Roman"/>
        </w:rPr>
        <w:t>.</w:t>
      </w:r>
      <w:r w:rsidRPr="006A6A92">
        <w:rPr>
          <w:rFonts w:eastAsia="Meiryo UI" w:cs="Times New Roman"/>
        </w:rPr>
        <w:t>, English P</w:t>
      </w:r>
      <w:r>
        <w:rPr>
          <w:rFonts w:eastAsia="Meiryo UI" w:cs="Times New Roman"/>
        </w:rPr>
        <w:t>.</w:t>
      </w:r>
      <w:r w:rsidRPr="006A6A92">
        <w:rPr>
          <w:rFonts w:eastAsia="Meiryo UI" w:cs="Times New Roman"/>
        </w:rPr>
        <w:t>A</w:t>
      </w:r>
      <w:r>
        <w:rPr>
          <w:rFonts w:eastAsia="Meiryo UI" w:cs="Times New Roman"/>
        </w:rPr>
        <w:t>.</w:t>
      </w:r>
      <w:r w:rsidRPr="006A6A92">
        <w:rPr>
          <w:rFonts w:eastAsia="Meiryo UI" w:cs="Times New Roman"/>
        </w:rPr>
        <w:t>, Barnett L</w:t>
      </w:r>
      <w:r>
        <w:rPr>
          <w:rFonts w:eastAsia="Meiryo UI" w:cs="Times New Roman"/>
        </w:rPr>
        <w:t>.</w:t>
      </w:r>
      <w:r w:rsidRPr="006A6A92">
        <w:rPr>
          <w:rFonts w:eastAsia="Meiryo UI" w:cs="Times New Roman"/>
        </w:rPr>
        <w:t>A</w:t>
      </w:r>
      <w:r>
        <w:rPr>
          <w:rFonts w:eastAsia="Meiryo UI" w:cs="Times New Roman"/>
        </w:rPr>
        <w:t>.</w:t>
      </w:r>
      <w:r w:rsidRPr="006A6A92">
        <w:rPr>
          <w:rFonts w:eastAsia="Meiryo UI" w:cs="Times New Roman"/>
        </w:rPr>
        <w:t>K</w:t>
      </w:r>
      <w:r>
        <w:rPr>
          <w:rFonts w:eastAsia="Meiryo UI" w:cs="Times New Roman"/>
        </w:rPr>
        <w:t>.</w:t>
      </w:r>
      <w:r w:rsidRPr="006A6A92">
        <w:rPr>
          <w:rFonts w:eastAsia="Meiryo UI" w:cs="Times New Roman"/>
        </w:rPr>
        <w:t>, Thorson J</w:t>
      </w:r>
      <w:r>
        <w:rPr>
          <w:rFonts w:eastAsia="Meiryo UI" w:cs="Times New Roman"/>
        </w:rPr>
        <w:t>.</w:t>
      </w:r>
      <w:r w:rsidRPr="006A6A92">
        <w:rPr>
          <w:rFonts w:eastAsia="Meiryo UI" w:cs="Times New Roman"/>
        </w:rPr>
        <w:t>T</w:t>
      </w:r>
      <w:r>
        <w:rPr>
          <w:rFonts w:eastAsia="Meiryo UI" w:cs="Times New Roman"/>
        </w:rPr>
        <w:t>.</w:t>
      </w:r>
      <w:r w:rsidRPr="006A6A92">
        <w:rPr>
          <w:rFonts w:eastAsia="Meiryo UI" w:cs="Times New Roman"/>
        </w:rPr>
        <w:t xml:space="preserve"> (2024). sdmTMB: an R package for fast, flexible, and user-friendly generalized linear mixed effects models with spatial</w:t>
      </w:r>
      <w:r w:rsidR="005A58E9">
        <w:rPr>
          <w:rFonts w:eastAsia="Meiryo UI" w:cs="Times New Roman"/>
        </w:rPr>
        <w:t xml:space="preserve"> </w:t>
      </w:r>
      <w:r w:rsidRPr="006A6A92">
        <w:rPr>
          <w:rFonts w:eastAsia="Meiryo UI" w:cs="Times New Roman"/>
        </w:rPr>
        <w:t>and spatiotemporal</w:t>
      </w:r>
      <w:r>
        <w:rPr>
          <w:rFonts w:eastAsia="Meiryo UI" w:cs="Times New Roman"/>
        </w:rPr>
        <w:t xml:space="preserve"> </w:t>
      </w:r>
      <w:r w:rsidRPr="006A6A92">
        <w:rPr>
          <w:rFonts w:eastAsia="Meiryo UI" w:cs="Times New Roman"/>
        </w:rPr>
        <w:t xml:space="preserve">random fields. </w:t>
      </w:r>
      <w:proofErr w:type="spellStart"/>
      <w:r w:rsidRPr="006A6A92">
        <w:rPr>
          <w:rFonts w:eastAsia="Meiryo UI" w:cs="Times New Roman"/>
        </w:rPr>
        <w:t>bioRxiv</w:t>
      </w:r>
      <w:proofErr w:type="spellEnd"/>
      <w:r>
        <w:rPr>
          <w:rFonts w:eastAsia="Meiryo UI" w:cs="Times New Roman"/>
        </w:rPr>
        <w:t xml:space="preserve"> preprint</w:t>
      </w:r>
      <w:r w:rsidRPr="006A6A92">
        <w:rPr>
          <w:rFonts w:eastAsia="Meiryo UI" w:cs="Times New Roman"/>
        </w:rPr>
        <w:t>,</w:t>
      </w:r>
      <w:r>
        <w:rPr>
          <w:rFonts w:eastAsia="Meiryo UI" w:cs="Times New Roman"/>
        </w:rPr>
        <w:t xml:space="preserve"> </w:t>
      </w:r>
      <w:r w:rsidRPr="00746C33">
        <w:rPr>
          <w:rFonts w:eastAsia="Meiryo UI" w:cs="Times New Roman"/>
        </w:rPr>
        <w:t>https://doi.org/10.1101/2022.03.24.485545</w:t>
      </w:r>
      <w:r w:rsidRPr="00852CE3">
        <w:rPr>
          <w:rFonts w:eastAsia="Meiryo UI" w:cs="Times New Roman"/>
        </w:rPr>
        <w:t>.</w:t>
      </w:r>
    </w:p>
    <w:p w14:paraId="39E3FA3B" w14:textId="2393B8B4" w:rsidR="003D0988" w:rsidRDefault="003D0988" w:rsidP="003D0988">
      <w:pPr>
        <w:ind w:left="720" w:hanging="720"/>
        <w:rPr>
          <w:rFonts w:eastAsia="Meiryo UI" w:cs="Times New Roman"/>
        </w:rPr>
      </w:pPr>
      <w:r w:rsidRPr="00EF35B1">
        <w:rPr>
          <w:rFonts w:eastAsia="Meiryo UI" w:cs="Times New Roman"/>
        </w:rPr>
        <w:t xml:space="preserve">R Core Team (2023). R: A language and environment for statistical computing. R Foundation for Statistical Computing, Vienna, Austria. URL </w:t>
      </w:r>
      <w:r w:rsidRPr="003D0988">
        <w:rPr>
          <w:rFonts w:eastAsia="Meiryo UI" w:cs="Times New Roman"/>
        </w:rPr>
        <w:t>https://www.R-project.org/</w:t>
      </w:r>
      <w:r w:rsidRPr="00EF35B1">
        <w:rPr>
          <w:rFonts w:eastAsia="Meiryo UI" w:cs="Times New Roman"/>
        </w:rPr>
        <w:t>.</w:t>
      </w:r>
    </w:p>
    <w:p w14:paraId="27B31B73" w14:textId="1BBB9C9C" w:rsidR="003D0988" w:rsidRDefault="00FA0554" w:rsidP="003D0988">
      <w:pPr>
        <w:ind w:left="720" w:hanging="720"/>
        <w:rPr>
          <w:rFonts w:cs="Times New Roman"/>
        </w:rPr>
      </w:pPr>
      <w:r w:rsidRPr="00FB439B">
        <w:rPr>
          <w:rFonts w:cs="Times New Roman"/>
        </w:rPr>
        <w:t>Hoyle</w:t>
      </w:r>
      <w:r>
        <w:rPr>
          <w:rFonts w:cs="Times New Roman"/>
        </w:rPr>
        <w:t>,</w:t>
      </w:r>
      <w:r w:rsidRPr="00FB439B">
        <w:rPr>
          <w:rFonts w:cs="Times New Roman"/>
        </w:rPr>
        <w:t xml:space="preserve"> S</w:t>
      </w:r>
      <w:r>
        <w:rPr>
          <w:rFonts w:cs="Times New Roman"/>
        </w:rPr>
        <w:t>.</w:t>
      </w:r>
      <w:r w:rsidRPr="00FB439B">
        <w:rPr>
          <w:rFonts w:cs="Times New Roman"/>
        </w:rPr>
        <w:t>D</w:t>
      </w:r>
      <w:r>
        <w:rPr>
          <w:rFonts w:cs="Times New Roman"/>
        </w:rPr>
        <w:t>.</w:t>
      </w:r>
      <w:r w:rsidRPr="00FB439B">
        <w:rPr>
          <w:rFonts w:cs="Times New Roman"/>
        </w:rPr>
        <w:t>, Campbell</w:t>
      </w:r>
      <w:r>
        <w:rPr>
          <w:rFonts w:cs="Times New Roman"/>
        </w:rPr>
        <w:t>,</w:t>
      </w:r>
      <w:r w:rsidRPr="00FB439B">
        <w:rPr>
          <w:rFonts w:cs="Times New Roman"/>
        </w:rPr>
        <w:t xml:space="preserve"> R</w:t>
      </w:r>
      <w:r>
        <w:rPr>
          <w:rFonts w:cs="Times New Roman"/>
        </w:rPr>
        <w:t>.</w:t>
      </w:r>
      <w:r w:rsidRPr="00FB439B">
        <w:rPr>
          <w:rFonts w:cs="Times New Roman"/>
        </w:rPr>
        <w:t>A</w:t>
      </w:r>
      <w:r>
        <w:rPr>
          <w:rFonts w:cs="Times New Roman"/>
        </w:rPr>
        <w:t>.</w:t>
      </w:r>
      <w:r w:rsidRPr="00FB439B">
        <w:rPr>
          <w:rFonts w:cs="Times New Roman"/>
        </w:rPr>
        <w:t>, Ducharme-Barth</w:t>
      </w:r>
      <w:r>
        <w:rPr>
          <w:rFonts w:cs="Times New Roman"/>
        </w:rPr>
        <w:t>,</w:t>
      </w:r>
      <w:r w:rsidRPr="00FB439B">
        <w:rPr>
          <w:rFonts w:cs="Times New Roman"/>
        </w:rPr>
        <w:t xml:space="preserve"> N</w:t>
      </w:r>
      <w:r>
        <w:rPr>
          <w:rFonts w:cs="Times New Roman"/>
        </w:rPr>
        <w:t>.</w:t>
      </w:r>
      <w:r w:rsidRPr="00FB439B">
        <w:rPr>
          <w:rFonts w:cs="Times New Roman"/>
        </w:rPr>
        <w:t>D</w:t>
      </w:r>
      <w:r>
        <w:rPr>
          <w:rFonts w:cs="Times New Roman"/>
        </w:rPr>
        <w:t>.</w:t>
      </w:r>
      <w:r w:rsidRPr="00FB439B">
        <w:rPr>
          <w:rFonts w:cs="Times New Roman"/>
        </w:rPr>
        <w:t xml:space="preserve">, </w:t>
      </w:r>
      <w:proofErr w:type="spellStart"/>
      <w:r w:rsidRPr="00FB439B">
        <w:rPr>
          <w:rFonts w:cs="Times New Roman"/>
        </w:rPr>
        <w:t>Grüss</w:t>
      </w:r>
      <w:proofErr w:type="spellEnd"/>
      <w:r>
        <w:rPr>
          <w:rFonts w:cs="Times New Roman"/>
        </w:rPr>
        <w:t>,</w:t>
      </w:r>
      <w:r w:rsidRPr="00FB439B">
        <w:rPr>
          <w:rFonts w:cs="Times New Roman"/>
        </w:rPr>
        <w:t xml:space="preserve"> A</w:t>
      </w:r>
      <w:r>
        <w:rPr>
          <w:rFonts w:cs="Times New Roman"/>
        </w:rPr>
        <w:t>.</w:t>
      </w:r>
      <w:r w:rsidRPr="00FB439B">
        <w:rPr>
          <w:rFonts w:cs="Times New Roman"/>
        </w:rPr>
        <w:t>, Moore</w:t>
      </w:r>
      <w:r>
        <w:rPr>
          <w:rFonts w:cs="Times New Roman"/>
        </w:rPr>
        <w:t>,</w:t>
      </w:r>
      <w:r w:rsidRPr="00FB439B">
        <w:rPr>
          <w:rFonts w:cs="Times New Roman"/>
        </w:rPr>
        <w:t xml:space="preserve"> B</w:t>
      </w:r>
      <w:r>
        <w:rPr>
          <w:rFonts w:cs="Times New Roman"/>
        </w:rPr>
        <w:t>.</w:t>
      </w:r>
      <w:r w:rsidRPr="00FB439B">
        <w:rPr>
          <w:rFonts w:cs="Times New Roman"/>
        </w:rPr>
        <w:t>R</w:t>
      </w:r>
      <w:r>
        <w:rPr>
          <w:rFonts w:cs="Times New Roman"/>
        </w:rPr>
        <w:t>.</w:t>
      </w:r>
      <w:r w:rsidRPr="00FB439B">
        <w:rPr>
          <w:rFonts w:cs="Times New Roman"/>
        </w:rPr>
        <w:t>, Thorson</w:t>
      </w:r>
      <w:r>
        <w:rPr>
          <w:rFonts w:cs="Times New Roman"/>
        </w:rPr>
        <w:t>,</w:t>
      </w:r>
      <w:r w:rsidRPr="00FB439B">
        <w:rPr>
          <w:rFonts w:cs="Times New Roman"/>
        </w:rPr>
        <w:t xml:space="preserve"> J</w:t>
      </w:r>
      <w:r>
        <w:rPr>
          <w:rFonts w:cs="Times New Roman"/>
        </w:rPr>
        <w:t>.</w:t>
      </w:r>
      <w:r w:rsidRPr="00FB439B">
        <w:rPr>
          <w:rFonts w:cs="Times New Roman"/>
        </w:rPr>
        <w:t>T</w:t>
      </w:r>
      <w:r>
        <w:rPr>
          <w:rFonts w:cs="Times New Roman"/>
        </w:rPr>
        <w:t>.</w:t>
      </w:r>
      <w:r w:rsidRPr="00FB439B">
        <w:rPr>
          <w:rFonts w:cs="Times New Roman"/>
        </w:rPr>
        <w:t>, Tremblay-Boyer</w:t>
      </w:r>
      <w:r>
        <w:rPr>
          <w:rFonts w:cs="Times New Roman"/>
        </w:rPr>
        <w:t>,</w:t>
      </w:r>
      <w:r w:rsidRPr="00FB439B">
        <w:rPr>
          <w:rFonts w:cs="Times New Roman"/>
        </w:rPr>
        <w:t xml:space="preserve"> L</w:t>
      </w:r>
      <w:r>
        <w:rPr>
          <w:rFonts w:cs="Times New Roman"/>
        </w:rPr>
        <w:t>.</w:t>
      </w:r>
      <w:r w:rsidRPr="00FB439B">
        <w:rPr>
          <w:rFonts w:cs="Times New Roman"/>
        </w:rPr>
        <w:t>, Winker</w:t>
      </w:r>
      <w:r>
        <w:rPr>
          <w:rFonts w:cs="Times New Roman"/>
        </w:rPr>
        <w:t>,</w:t>
      </w:r>
      <w:r w:rsidRPr="00FB439B">
        <w:rPr>
          <w:rFonts w:cs="Times New Roman"/>
        </w:rPr>
        <w:t xml:space="preserve"> H</w:t>
      </w:r>
      <w:r>
        <w:rPr>
          <w:rFonts w:cs="Times New Roman"/>
        </w:rPr>
        <w:t>.</w:t>
      </w:r>
      <w:r w:rsidRPr="00FB439B">
        <w:rPr>
          <w:rFonts w:cs="Times New Roman"/>
        </w:rPr>
        <w:t>, Zhou</w:t>
      </w:r>
      <w:r>
        <w:rPr>
          <w:rFonts w:cs="Times New Roman"/>
        </w:rPr>
        <w:t>,</w:t>
      </w:r>
      <w:r w:rsidRPr="00FB439B">
        <w:rPr>
          <w:rFonts w:cs="Times New Roman"/>
        </w:rPr>
        <w:t xml:space="preserve"> S</w:t>
      </w:r>
      <w:r>
        <w:rPr>
          <w:rFonts w:cs="Times New Roman"/>
        </w:rPr>
        <w:t>.</w:t>
      </w:r>
      <w:r w:rsidRPr="00FB439B">
        <w:rPr>
          <w:rFonts w:cs="Times New Roman"/>
        </w:rPr>
        <w:t>, Maunder</w:t>
      </w:r>
      <w:r>
        <w:rPr>
          <w:rFonts w:cs="Times New Roman"/>
        </w:rPr>
        <w:t>,</w:t>
      </w:r>
      <w:r w:rsidRPr="00FB439B">
        <w:rPr>
          <w:rFonts w:cs="Times New Roman"/>
        </w:rPr>
        <w:t xml:space="preserve"> M</w:t>
      </w:r>
      <w:r>
        <w:rPr>
          <w:rFonts w:cs="Times New Roman"/>
        </w:rPr>
        <w:t>.</w:t>
      </w:r>
      <w:r w:rsidRPr="00FB439B">
        <w:rPr>
          <w:rFonts w:cs="Times New Roman"/>
        </w:rPr>
        <w:t>N</w:t>
      </w:r>
      <w:r>
        <w:rPr>
          <w:rFonts w:cs="Times New Roman"/>
        </w:rPr>
        <w:t>.</w:t>
      </w:r>
      <w:r w:rsidRPr="00FB439B">
        <w:rPr>
          <w:rFonts w:cs="Times New Roman"/>
        </w:rPr>
        <w:t xml:space="preserve"> (2024)</w:t>
      </w:r>
      <w:r>
        <w:rPr>
          <w:rFonts w:cs="Times New Roman"/>
        </w:rPr>
        <w:t>.</w:t>
      </w:r>
      <w:r w:rsidRPr="00FB439B">
        <w:rPr>
          <w:rFonts w:cs="Times New Roman"/>
        </w:rPr>
        <w:t xml:space="preserve"> Catch per unit effort modelling for stock assessment: A summary of good practices. Fish Res 269:106860. </w:t>
      </w:r>
      <w:r w:rsidRPr="005A58E9">
        <w:rPr>
          <w:rFonts w:cs="Times New Roman"/>
        </w:rPr>
        <w:t>https://doi.org/10.1016/j.fishres.2023.106860</w:t>
      </w:r>
    </w:p>
    <w:p w14:paraId="32E10A4D" w14:textId="34024615" w:rsidR="00FA0554" w:rsidRDefault="00E71DE8" w:rsidP="003D0988">
      <w:pPr>
        <w:ind w:left="720" w:hanging="720"/>
        <w:rPr>
          <w:rFonts w:eastAsia="Meiryo UI" w:cs="Times New Roman"/>
        </w:rPr>
      </w:pPr>
      <w:r w:rsidRPr="00E71DE8">
        <w:rPr>
          <w:rFonts w:eastAsia="Meiryo UI" w:cs="Times New Roman"/>
        </w:rPr>
        <w:t>Pons, M., Amoroso, R., Sawada, K. (2024). Yield per recruit and spawning biomass per recruit analyses for Splendid Alfonsino (Beryx splendens) in the North Pacific. NPFC-2024-SSC BFME05-WP09 (Rev. 1), 22 pp.</w:t>
      </w:r>
    </w:p>
    <w:p w14:paraId="26998D42" w14:textId="69CD2255" w:rsidR="00CF15A6" w:rsidRDefault="002F7D6B" w:rsidP="003D0988">
      <w:pPr>
        <w:ind w:left="720" w:hanging="720"/>
        <w:rPr>
          <w:rFonts w:eastAsia="Meiryo UI" w:cs="Times New Roman"/>
        </w:rPr>
      </w:pPr>
      <w:r w:rsidRPr="002F7D6B">
        <w:rPr>
          <w:rFonts w:eastAsia="Meiryo UI" w:cs="Times New Roman"/>
        </w:rPr>
        <w:t>Sawada, K. (2024). Small Working Group on NPA and SA - Summary for 2024. NPFC-2024-SSC BFME05-WP17, 4 pp.</w:t>
      </w:r>
    </w:p>
    <w:p w14:paraId="0D338A7E" w14:textId="70CCFA0B" w:rsidR="00AE7F10" w:rsidRDefault="005A58E9" w:rsidP="003D0988">
      <w:pPr>
        <w:ind w:left="720" w:hanging="720"/>
        <w:rPr>
          <w:rFonts w:eastAsia="Meiryo UI" w:cs="Times New Roman"/>
        </w:rPr>
      </w:pPr>
      <w:r w:rsidRPr="00FB439B">
        <w:rPr>
          <w:rFonts w:cs="Times New Roman"/>
        </w:rPr>
        <w:t>Small Scientific Committee on Bottom Fish and Marine Ecosystems (2024) 5</w:t>
      </w:r>
      <w:r w:rsidRPr="00FB439B">
        <w:rPr>
          <w:rFonts w:cs="Times New Roman"/>
          <w:vertAlign w:val="superscript"/>
        </w:rPr>
        <w:t>th</w:t>
      </w:r>
      <w:r w:rsidRPr="00FB439B">
        <w:rPr>
          <w:rFonts w:cs="Times New Roman"/>
        </w:rPr>
        <w:t xml:space="preserve"> Meeting Report. NPFC-2024-SSC BF-ME05-Final Rep</w:t>
      </w:r>
      <w:r>
        <w:rPr>
          <w:rFonts w:cs="Times New Roman"/>
        </w:rPr>
        <w:t>,</w:t>
      </w:r>
      <w:r w:rsidRPr="00FB439B">
        <w:rPr>
          <w:rFonts w:cs="Times New Roman"/>
        </w:rPr>
        <w:t xml:space="preserve"> 149 </w:t>
      </w:r>
      <w:proofErr w:type="gramStart"/>
      <w:r w:rsidRPr="00FB439B">
        <w:rPr>
          <w:rFonts w:cs="Times New Roman"/>
        </w:rPr>
        <w:t>pp</w:t>
      </w:r>
      <w:proofErr w:type="gramEnd"/>
      <w:r w:rsidRPr="00FB439B">
        <w:rPr>
          <w:rFonts w:cs="Times New Roman"/>
        </w:rPr>
        <w:t>.</w:t>
      </w:r>
    </w:p>
    <w:p w14:paraId="22CD49EA" w14:textId="138B1FBF" w:rsidR="001A34A1" w:rsidRDefault="001A34A1">
      <w:pPr>
        <w:widowControl/>
        <w:jc w:val="left"/>
        <w:rPr>
          <w:rFonts w:eastAsia="Meiryo UI" w:cs="Times New Roman"/>
        </w:rPr>
      </w:pPr>
      <w:r>
        <w:rPr>
          <w:rFonts w:eastAsia="Meiryo UI" w:cs="Times New Roman"/>
        </w:rPr>
        <w:br w:type="page"/>
      </w:r>
      <w:r w:rsidR="000317CE" w:rsidRPr="000317CE">
        <w:rPr>
          <w:rFonts w:eastAsia="Meiryo UI" w:cs="Times New Roman"/>
        </w:rPr>
        <w:lastRenderedPageBreak/>
        <w:t>Table 1 – Delta-</w:t>
      </w:r>
      <w:r w:rsidR="00443B02">
        <w:rPr>
          <w:rFonts w:eastAsia="Meiryo UI" w:cs="Times New Roman"/>
        </w:rPr>
        <w:t>g</w:t>
      </w:r>
      <w:r w:rsidR="000317CE" w:rsidRPr="000317CE">
        <w:rPr>
          <w:rFonts w:eastAsia="Meiryo UI" w:cs="Times New Roman"/>
        </w:rPr>
        <w:t>amma model coefficients and standard error for splendid alfonsino data between 2010 and 2024</w:t>
      </w:r>
    </w:p>
    <w:p w14:paraId="6F89B4AA" w14:textId="6074460F" w:rsidR="000317CE" w:rsidRDefault="00B62AE1">
      <w:pPr>
        <w:widowControl/>
        <w:jc w:val="left"/>
        <w:rPr>
          <w:rFonts w:eastAsia="Meiryo UI" w:cs="Times New Roman"/>
        </w:rPr>
      </w:pPr>
      <w:r w:rsidRPr="00B62AE1">
        <w:rPr>
          <w:rFonts w:eastAsia="Meiryo UI" w:cs="Times New Roman"/>
          <w:noProof/>
        </w:rPr>
        <w:drawing>
          <wp:anchor distT="0" distB="0" distL="114300" distR="114300" simplePos="0" relativeHeight="251661312" behindDoc="0" locked="0" layoutInCell="1" allowOverlap="1" wp14:anchorId="34C1A126" wp14:editId="4BB82FB6">
            <wp:simplePos x="0" y="0"/>
            <wp:positionH relativeFrom="column">
              <wp:posOffset>-3175</wp:posOffset>
            </wp:positionH>
            <wp:positionV relativeFrom="paragraph">
              <wp:posOffset>105198</wp:posOffset>
            </wp:positionV>
            <wp:extent cx="5022215" cy="3271163"/>
            <wp:effectExtent l="0" t="0" r="6985" b="0"/>
            <wp:wrapNone/>
            <wp:docPr id="484821182" name="table" descr="図形&#10;&#10;AI 生成コンテンツは誤りを含む可能性があります。">
              <a:extLst xmlns:a="http://schemas.openxmlformats.org/drawingml/2006/main">
                <a:ext uri="{FF2B5EF4-FFF2-40B4-BE49-F238E27FC236}">
                  <a16:creationId xmlns:a16="http://schemas.microsoft.com/office/drawing/2014/main" id="{793AD9D6-2F57-FEEC-6556-B5D6387E3C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21182" name="table" descr="図形&#10;&#10;AI 生成コンテンツは誤りを含む可能性があります。">
                      <a:extLst>
                        <a:ext uri="{FF2B5EF4-FFF2-40B4-BE49-F238E27FC236}">
                          <a16:creationId xmlns:a16="http://schemas.microsoft.com/office/drawing/2014/main" id="{793AD9D6-2F57-FEEC-6556-B5D6387E3C23}"/>
                        </a:ext>
                      </a:extLst>
                    </pic:cNvPr>
                    <pic:cNvPicPr>
                      <a:picLocks noChangeAspect="1"/>
                    </pic:cNvPicPr>
                  </pic:nvPicPr>
                  <pic:blipFill>
                    <a:blip r:embed="rId8"/>
                    <a:stretch>
                      <a:fillRect/>
                    </a:stretch>
                  </pic:blipFill>
                  <pic:spPr>
                    <a:xfrm>
                      <a:off x="0" y="0"/>
                      <a:ext cx="5041681" cy="3283842"/>
                    </a:xfrm>
                    <a:prstGeom prst="rect">
                      <a:avLst/>
                    </a:prstGeom>
                  </pic:spPr>
                </pic:pic>
              </a:graphicData>
            </a:graphic>
            <wp14:sizeRelH relativeFrom="margin">
              <wp14:pctWidth>0</wp14:pctWidth>
            </wp14:sizeRelH>
            <wp14:sizeRelV relativeFrom="margin">
              <wp14:pctHeight>0</wp14:pctHeight>
            </wp14:sizeRelV>
          </wp:anchor>
        </w:drawing>
      </w:r>
    </w:p>
    <w:p w14:paraId="116AC3CB" w14:textId="004A68D6" w:rsidR="00016111" w:rsidRDefault="00016111">
      <w:pPr>
        <w:widowControl/>
        <w:jc w:val="left"/>
        <w:rPr>
          <w:rFonts w:eastAsia="Meiryo UI" w:cs="Times New Roman"/>
        </w:rPr>
      </w:pPr>
    </w:p>
    <w:p w14:paraId="5FC7107A" w14:textId="67B096DF" w:rsidR="00016111" w:rsidRDefault="00B62AE1">
      <w:pPr>
        <w:widowControl/>
        <w:jc w:val="left"/>
        <w:rPr>
          <w:rFonts w:eastAsia="Meiryo UI" w:cs="Times New Roman"/>
        </w:rPr>
      </w:pPr>
      <w:r w:rsidRPr="00B62AE1">
        <w:rPr>
          <w:rFonts w:eastAsia="Meiryo UI" w:cs="Times New Roman"/>
          <w:noProof/>
        </w:rPr>
        <mc:AlternateContent>
          <mc:Choice Requires="wps">
            <w:drawing>
              <wp:anchor distT="0" distB="0" distL="114300" distR="114300" simplePos="0" relativeHeight="251662336" behindDoc="0" locked="0" layoutInCell="1" allowOverlap="1" wp14:anchorId="30CFEEF5" wp14:editId="4E5D403B">
                <wp:simplePos x="0" y="0"/>
                <wp:positionH relativeFrom="column">
                  <wp:posOffset>-3810</wp:posOffset>
                </wp:positionH>
                <wp:positionV relativeFrom="paragraph">
                  <wp:posOffset>195157</wp:posOffset>
                </wp:positionV>
                <wp:extent cx="5022761" cy="0"/>
                <wp:effectExtent l="0" t="0" r="0" b="0"/>
                <wp:wrapNone/>
                <wp:docPr id="11" name="直線コネクタ 10">
                  <a:extLst xmlns:a="http://schemas.openxmlformats.org/drawingml/2006/main">
                    <a:ext uri="{FF2B5EF4-FFF2-40B4-BE49-F238E27FC236}">
                      <a16:creationId xmlns:a16="http://schemas.microsoft.com/office/drawing/2014/main" id="{AC12D9F9-2BC5-BC74-516C-87C23362A4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2761"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C43F51D" id="直線コネクタ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15.35pt" to="395.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" strokecolor="black [3213]" strokeweight=".5pt">
                <v:stroke joinstyle="miter"/>
                <o:lock v:ext="edit" shapetype="f"/>
              </v:line>
            </w:pict>
          </mc:Fallback>
        </mc:AlternateContent>
      </w:r>
    </w:p>
    <w:p w14:paraId="2F981469" w14:textId="50996541" w:rsidR="00016111" w:rsidRDefault="00016111">
      <w:pPr>
        <w:widowControl/>
        <w:jc w:val="left"/>
        <w:rPr>
          <w:rFonts w:eastAsia="Meiryo UI" w:cs="Times New Roman"/>
        </w:rPr>
      </w:pPr>
    </w:p>
    <w:p w14:paraId="433D7176" w14:textId="69D5A33B" w:rsidR="00016111" w:rsidRDefault="00016111">
      <w:pPr>
        <w:widowControl/>
        <w:jc w:val="left"/>
        <w:rPr>
          <w:rFonts w:eastAsia="Meiryo UI" w:cs="Times New Roman"/>
        </w:rPr>
      </w:pPr>
    </w:p>
    <w:p w14:paraId="742591E8" w14:textId="6BAE6BD1" w:rsidR="00016111" w:rsidRDefault="00016111">
      <w:pPr>
        <w:widowControl/>
        <w:jc w:val="left"/>
        <w:rPr>
          <w:rFonts w:eastAsia="Meiryo UI" w:cs="Times New Roman"/>
        </w:rPr>
      </w:pPr>
    </w:p>
    <w:p w14:paraId="2C93D106" w14:textId="77777777" w:rsidR="00016111" w:rsidRDefault="00016111">
      <w:pPr>
        <w:widowControl/>
        <w:jc w:val="left"/>
        <w:rPr>
          <w:rFonts w:eastAsia="Meiryo UI" w:cs="Times New Roman"/>
        </w:rPr>
      </w:pPr>
    </w:p>
    <w:p w14:paraId="06BAEF17" w14:textId="77777777" w:rsidR="00016111" w:rsidRDefault="00016111">
      <w:pPr>
        <w:widowControl/>
        <w:jc w:val="left"/>
        <w:rPr>
          <w:rFonts w:eastAsia="Meiryo UI" w:cs="Times New Roman"/>
        </w:rPr>
      </w:pPr>
    </w:p>
    <w:p w14:paraId="73FCDB50" w14:textId="46767D5B" w:rsidR="00016111" w:rsidRDefault="00016111">
      <w:pPr>
        <w:widowControl/>
        <w:jc w:val="left"/>
        <w:rPr>
          <w:rFonts w:eastAsia="Meiryo UI" w:cs="Times New Roman"/>
        </w:rPr>
      </w:pPr>
      <w:r>
        <w:rPr>
          <w:rFonts w:eastAsia="Meiryo UI" w:cs="Times New Roman"/>
        </w:rPr>
        <w:br w:type="page"/>
      </w:r>
    </w:p>
    <w:p w14:paraId="4AB3D81C" w14:textId="7156FEC9" w:rsidR="00016111" w:rsidRDefault="00D3496B">
      <w:pPr>
        <w:widowControl/>
        <w:jc w:val="left"/>
        <w:rPr>
          <w:rFonts w:eastAsia="Meiryo UI" w:cs="Times New Roman"/>
        </w:rPr>
      </w:pPr>
      <w:r>
        <w:rPr>
          <w:rFonts w:eastAsia="Meiryo UI" w:cs="Times New Roman"/>
          <w:noProof/>
        </w:rPr>
        <w:lastRenderedPageBreak/>
        <w:drawing>
          <wp:inline distT="0" distB="0" distL="0" distR="0" wp14:anchorId="6E4A40A4" wp14:editId="671728A0">
            <wp:extent cx="5216237" cy="3894667"/>
            <wp:effectExtent l="0" t="0" r="3810" b="0"/>
            <wp:docPr id="24092098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1025" cy="3913175"/>
                    </a:xfrm>
                    <a:prstGeom prst="rect">
                      <a:avLst/>
                    </a:prstGeom>
                    <a:noFill/>
                  </pic:spPr>
                </pic:pic>
              </a:graphicData>
            </a:graphic>
          </wp:inline>
        </w:drawing>
      </w:r>
    </w:p>
    <w:p w14:paraId="0FCCC095" w14:textId="147360E9" w:rsidR="00016111" w:rsidRDefault="001D7C47">
      <w:pPr>
        <w:widowControl/>
        <w:jc w:val="left"/>
        <w:rPr>
          <w:rFonts w:eastAsia="Meiryo UI" w:cs="Times New Roman"/>
        </w:rPr>
      </w:pPr>
      <w:r w:rsidRPr="001D7C47">
        <w:rPr>
          <w:rFonts w:eastAsia="Meiryo UI" w:cs="Times New Roman"/>
        </w:rPr>
        <w:t xml:space="preserve">Fig. 1 – Bottom </w:t>
      </w:r>
      <w:r w:rsidR="00792E9F">
        <w:rPr>
          <w:rFonts w:eastAsia="Meiryo UI" w:cs="Times New Roman"/>
        </w:rPr>
        <w:t>t</w:t>
      </w:r>
      <w:r w:rsidRPr="001D7C47">
        <w:rPr>
          <w:rFonts w:eastAsia="Meiryo UI" w:cs="Times New Roman"/>
        </w:rPr>
        <w:t xml:space="preserve">rawl fishery </w:t>
      </w:r>
      <w:proofErr w:type="gramStart"/>
      <w:r w:rsidRPr="001D7C47">
        <w:rPr>
          <w:rFonts w:eastAsia="Meiryo UI" w:cs="Times New Roman"/>
        </w:rPr>
        <w:t>mean</w:t>
      </w:r>
      <w:proofErr w:type="gramEnd"/>
      <w:r w:rsidRPr="001D7C47">
        <w:rPr>
          <w:rFonts w:eastAsia="Meiryo UI" w:cs="Times New Roman"/>
        </w:rPr>
        <w:t xml:space="preserve"> annual splendid alfonsino CPUE by vessel from 2009 to 2024</w:t>
      </w:r>
    </w:p>
    <w:p w14:paraId="7ADA9D72" w14:textId="77777777" w:rsidR="00016111" w:rsidRDefault="00016111">
      <w:pPr>
        <w:widowControl/>
        <w:jc w:val="left"/>
        <w:rPr>
          <w:rFonts w:eastAsia="Meiryo UI" w:cs="Times New Roman"/>
        </w:rPr>
      </w:pPr>
    </w:p>
    <w:p w14:paraId="670F8F90" w14:textId="77777777" w:rsidR="00016111" w:rsidRDefault="00016111">
      <w:pPr>
        <w:widowControl/>
        <w:jc w:val="left"/>
        <w:rPr>
          <w:rFonts w:eastAsia="Meiryo UI" w:cs="Times New Roman"/>
        </w:rPr>
      </w:pPr>
    </w:p>
    <w:p w14:paraId="2E05EC12" w14:textId="77777777" w:rsidR="00016111" w:rsidRDefault="00016111">
      <w:pPr>
        <w:widowControl/>
        <w:jc w:val="left"/>
        <w:rPr>
          <w:rFonts w:eastAsia="Meiryo UI" w:cs="Times New Roman"/>
        </w:rPr>
      </w:pPr>
    </w:p>
    <w:p w14:paraId="52FE7355" w14:textId="77777777" w:rsidR="00016111" w:rsidRDefault="00016111">
      <w:pPr>
        <w:widowControl/>
        <w:jc w:val="left"/>
        <w:rPr>
          <w:rFonts w:eastAsia="Meiryo UI" w:cs="Times New Roman"/>
        </w:rPr>
      </w:pPr>
    </w:p>
    <w:p w14:paraId="1507A3BF" w14:textId="77777777" w:rsidR="00016111" w:rsidRDefault="00016111">
      <w:pPr>
        <w:widowControl/>
        <w:jc w:val="left"/>
        <w:rPr>
          <w:rFonts w:eastAsia="Meiryo UI" w:cs="Times New Roman"/>
        </w:rPr>
      </w:pPr>
    </w:p>
    <w:p w14:paraId="605F01B0" w14:textId="77777777" w:rsidR="00016111" w:rsidRDefault="00016111">
      <w:pPr>
        <w:widowControl/>
        <w:jc w:val="left"/>
        <w:rPr>
          <w:rFonts w:eastAsia="Meiryo UI" w:cs="Times New Roman"/>
        </w:rPr>
      </w:pPr>
    </w:p>
    <w:p w14:paraId="581B4321" w14:textId="77777777" w:rsidR="00016111" w:rsidRDefault="00016111">
      <w:pPr>
        <w:widowControl/>
        <w:jc w:val="left"/>
        <w:rPr>
          <w:rFonts w:eastAsia="Meiryo UI" w:cs="Times New Roman"/>
        </w:rPr>
      </w:pPr>
    </w:p>
    <w:p w14:paraId="5F61D3A9" w14:textId="77777777" w:rsidR="00016111" w:rsidRDefault="00016111">
      <w:pPr>
        <w:widowControl/>
        <w:jc w:val="left"/>
        <w:rPr>
          <w:rFonts w:eastAsia="Meiryo UI" w:cs="Times New Roman"/>
        </w:rPr>
      </w:pPr>
    </w:p>
    <w:p w14:paraId="2EDB5514" w14:textId="77777777" w:rsidR="00016111" w:rsidRDefault="00016111">
      <w:pPr>
        <w:widowControl/>
        <w:jc w:val="left"/>
        <w:rPr>
          <w:rFonts w:eastAsia="Meiryo UI" w:cs="Times New Roman"/>
        </w:rPr>
      </w:pPr>
    </w:p>
    <w:p w14:paraId="6B86E06B" w14:textId="305C6B66" w:rsidR="00016111" w:rsidRDefault="00016111">
      <w:pPr>
        <w:widowControl/>
        <w:jc w:val="left"/>
        <w:rPr>
          <w:rFonts w:eastAsia="Meiryo UI" w:cs="Times New Roman"/>
        </w:rPr>
      </w:pPr>
      <w:r>
        <w:rPr>
          <w:rFonts w:eastAsia="Meiryo UI" w:cs="Times New Roman"/>
        </w:rPr>
        <w:br w:type="page"/>
      </w:r>
    </w:p>
    <w:p w14:paraId="6490EBB7" w14:textId="11FB12EC" w:rsidR="00016111" w:rsidRDefault="0000770F">
      <w:pPr>
        <w:widowControl/>
        <w:jc w:val="left"/>
        <w:rPr>
          <w:rFonts w:eastAsia="Meiryo UI" w:cs="Times New Roman"/>
        </w:rPr>
      </w:pPr>
      <w:r>
        <w:rPr>
          <w:rFonts w:eastAsia="Meiryo UI" w:cs="Times New Roman"/>
          <w:noProof/>
        </w:rPr>
        <w:lastRenderedPageBreak/>
        <w:drawing>
          <wp:inline distT="0" distB="0" distL="0" distR="0" wp14:anchorId="18B3D428" wp14:editId="66AEDC66">
            <wp:extent cx="4897967" cy="3569605"/>
            <wp:effectExtent l="0" t="0" r="0" b="0"/>
            <wp:docPr id="159362720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731" cy="3575263"/>
                    </a:xfrm>
                    <a:prstGeom prst="rect">
                      <a:avLst/>
                    </a:prstGeom>
                    <a:noFill/>
                  </pic:spPr>
                </pic:pic>
              </a:graphicData>
            </a:graphic>
          </wp:inline>
        </w:drawing>
      </w:r>
    </w:p>
    <w:p w14:paraId="3B85AB0A" w14:textId="6BFE27F3" w:rsidR="00016111" w:rsidRDefault="0069247F">
      <w:pPr>
        <w:widowControl/>
        <w:jc w:val="left"/>
        <w:rPr>
          <w:rFonts w:eastAsia="Meiryo UI" w:cs="Times New Roman"/>
        </w:rPr>
      </w:pPr>
      <w:r w:rsidRPr="0069247F">
        <w:rPr>
          <w:rFonts w:eastAsia="Meiryo UI" w:cs="Times New Roman"/>
        </w:rPr>
        <w:t xml:space="preserve">Fig. 2 - Bottom gillnet fishery </w:t>
      </w:r>
      <w:proofErr w:type="gramStart"/>
      <w:r w:rsidRPr="0069247F">
        <w:rPr>
          <w:rFonts w:eastAsia="Meiryo UI" w:cs="Times New Roman"/>
        </w:rPr>
        <w:t>mean</w:t>
      </w:r>
      <w:proofErr w:type="gramEnd"/>
      <w:r w:rsidRPr="0069247F">
        <w:rPr>
          <w:rFonts w:eastAsia="Meiryo UI" w:cs="Times New Roman"/>
        </w:rPr>
        <w:t xml:space="preserve"> annual splendid alfonsino CPUE from 2009 to 2024</w:t>
      </w:r>
    </w:p>
    <w:p w14:paraId="0FA0F86F" w14:textId="77777777" w:rsidR="00016111" w:rsidRDefault="00016111">
      <w:pPr>
        <w:widowControl/>
        <w:jc w:val="left"/>
        <w:rPr>
          <w:rFonts w:eastAsia="Meiryo UI" w:cs="Times New Roman"/>
        </w:rPr>
      </w:pPr>
    </w:p>
    <w:p w14:paraId="778119E3" w14:textId="77777777" w:rsidR="00016111" w:rsidRDefault="00016111">
      <w:pPr>
        <w:widowControl/>
        <w:jc w:val="left"/>
        <w:rPr>
          <w:rFonts w:eastAsia="Meiryo UI" w:cs="Times New Roman"/>
        </w:rPr>
      </w:pPr>
    </w:p>
    <w:p w14:paraId="3F097949" w14:textId="77777777" w:rsidR="00016111" w:rsidRDefault="00016111">
      <w:pPr>
        <w:widowControl/>
        <w:jc w:val="left"/>
        <w:rPr>
          <w:rFonts w:eastAsia="Meiryo UI" w:cs="Times New Roman"/>
        </w:rPr>
      </w:pPr>
    </w:p>
    <w:p w14:paraId="408286F2" w14:textId="77777777" w:rsidR="00016111" w:rsidRDefault="00016111">
      <w:pPr>
        <w:widowControl/>
        <w:jc w:val="left"/>
        <w:rPr>
          <w:rFonts w:eastAsia="Meiryo UI" w:cs="Times New Roman"/>
        </w:rPr>
      </w:pPr>
    </w:p>
    <w:p w14:paraId="4256ECB1" w14:textId="1BC323DC" w:rsidR="00016111" w:rsidRDefault="00016111">
      <w:pPr>
        <w:widowControl/>
        <w:jc w:val="left"/>
        <w:rPr>
          <w:rFonts w:eastAsia="Meiryo UI" w:cs="Times New Roman"/>
        </w:rPr>
      </w:pPr>
      <w:r>
        <w:rPr>
          <w:rFonts w:eastAsia="Meiryo UI" w:cs="Times New Roman"/>
        </w:rPr>
        <w:br w:type="page"/>
      </w:r>
    </w:p>
    <w:p w14:paraId="2843756E" w14:textId="1E64A114" w:rsidR="00016111" w:rsidRDefault="00C90ACE">
      <w:pPr>
        <w:widowControl/>
        <w:jc w:val="left"/>
        <w:rPr>
          <w:rFonts w:eastAsia="Meiryo UI" w:cs="Times New Roman"/>
        </w:rPr>
      </w:pPr>
      <w:r>
        <w:rPr>
          <w:rFonts w:eastAsia="Meiryo UI" w:cs="Times New Roman"/>
          <w:noProof/>
        </w:rPr>
        <w:lastRenderedPageBreak/>
        <w:drawing>
          <wp:inline distT="0" distB="0" distL="0" distR="0" wp14:anchorId="72792817" wp14:editId="035C3DF6">
            <wp:extent cx="5096934" cy="3978400"/>
            <wp:effectExtent l="0" t="0" r="8890" b="3175"/>
            <wp:docPr id="106817613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6445" cy="3985824"/>
                    </a:xfrm>
                    <a:prstGeom prst="rect">
                      <a:avLst/>
                    </a:prstGeom>
                    <a:noFill/>
                  </pic:spPr>
                </pic:pic>
              </a:graphicData>
            </a:graphic>
          </wp:inline>
        </w:drawing>
      </w:r>
    </w:p>
    <w:p w14:paraId="72DF0766" w14:textId="5268BFB4" w:rsidR="009D5058" w:rsidRPr="009D5058" w:rsidRDefault="009D5058" w:rsidP="009D5058">
      <w:pPr>
        <w:widowControl/>
        <w:jc w:val="left"/>
        <w:rPr>
          <w:rFonts w:eastAsia="Meiryo UI" w:cs="Times New Roman"/>
        </w:rPr>
      </w:pPr>
      <w:r w:rsidRPr="009D5058">
        <w:rPr>
          <w:rFonts w:eastAsia="Meiryo UI" w:cs="Times New Roman"/>
        </w:rPr>
        <w:t xml:space="preserve">Fig. 3 - QQ Plot for splendid alfonsino </w:t>
      </w:r>
      <w:r w:rsidR="006670C7">
        <w:rPr>
          <w:rFonts w:eastAsia="Meiryo UI" w:cs="Times New Roman"/>
        </w:rPr>
        <w:t xml:space="preserve">trawl </w:t>
      </w:r>
      <w:r w:rsidRPr="009D5058">
        <w:rPr>
          <w:rFonts w:eastAsia="Meiryo UI" w:cs="Times New Roman"/>
        </w:rPr>
        <w:t>CPUE delta-gamma model</w:t>
      </w:r>
    </w:p>
    <w:p w14:paraId="3A0F4BA5" w14:textId="77777777" w:rsidR="009D5058" w:rsidRDefault="009D5058">
      <w:pPr>
        <w:widowControl/>
        <w:jc w:val="left"/>
        <w:rPr>
          <w:rFonts w:eastAsia="Meiryo UI" w:cs="Times New Roman"/>
        </w:rPr>
      </w:pPr>
    </w:p>
    <w:p w14:paraId="5FF020BE" w14:textId="77777777" w:rsidR="009D5058" w:rsidRDefault="009D5058">
      <w:pPr>
        <w:widowControl/>
        <w:jc w:val="left"/>
        <w:rPr>
          <w:rFonts w:eastAsia="Meiryo UI" w:cs="Times New Roman"/>
        </w:rPr>
      </w:pPr>
    </w:p>
    <w:p w14:paraId="184645C9" w14:textId="77777777" w:rsidR="009D5058" w:rsidRDefault="009D5058">
      <w:pPr>
        <w:widowControl/>
        <w:jc w:val="left"/>
        <w:rPr>
          <w:rFonts w:eastAsia="Meiryo UI" w:cs="Times New Roman"/>
        </w:rPr>
      </w:pPr>
    </w:p>
    <w:p w14:paraId="414A818C" w14:textId="77777777" w:rsidR="009D5058" w:rsidRDefault="009D5058">
      <w:pPr>
        <w:widowControl/>
        <w:jc w:val="left"/>
        <w:rPr>
          <w:rFonts w:eastAsia="Meiryo UI" w:cs="Times New Roman"/>
        </w:rPr>
      </w:pPr>
    </w:p>
    <w:p w14:paraId="0171DD03" w14:textId="77777777" w:rsidR="009D5058" w:rsidRDefault="009D5058">
      <w:pPr>
        <w:widowControl/>
        <w:jc w:val="left"/>
        <w:rPr>
          <w:rFonts w:eastAsia="Meiryo UI" w:cs="Times New Roman"/>
        </w:rPr>
      </w:pPr>
    </w:p>
    <w:p w14:paraId="76F7AC89" w14:textId="77777777" w:rsidR="009D5058" w:rsidRDefault="009D5058">
      <w:pPr>
        <w:widowControl/>
        <w:jc w:val="left"/>
        <w:rPr>
          <w:rFonts w:eastAsia="Meiryo UI" w:cs="Times New Roman"/>
        </w:rPr>
      </w:pPr>
    </w:p>
    <w:p w14:paraId="0844F904" w14:textId="77777777" w:rsidR="009D5058" w:rsidRDefault="009D5058">
      <w:pPr>
        <w:widowControl/>
        <w:jc w:val="left"/>
        <w:rPr>
          <w:rFonts w:eastAsia="Meiryo UI" w:cs="Times New Roman"/>
        </w:rPr>
      </w:pPr>
    </w:p>
    <w:p w14:paraId="1804C7C0" w14:textId="77777777" w:rsidR="009D5058" w:rsidRDefault="009D5058">
      <w:pPr>
        <w:widowControl/>
        <w:jc w:val="left"/>
        <w:rPr>
          <w:rFonts w:eastAsia="Meiryo UI" w:cs="Times New Roman"/>
        </w:rPr>
      </w:pPr>
    </w:p>
    <w:p w14:paraId="3DD9F6C1" w14:textId="77777777" w:rsidR="002B3F83" w:rsidRDefault="002B3F83">
      <w:pPr>
        <w:widowControl/>
        <w:jc w:val="left"/>
        <w:rPr>
          <w:rFonts w:eastAsia="Meiryo UI" w:cs="Times New Roman"/>
        </w:rPr>
      </w:pPr>
    </w:p>
    <w:p w14:paraId="32255043" w14:textId="5C84DFCC" w:rsidR="002B3F83" w:rsidRDefault="002B3F83">
      <w:pPr>
        <w:widowControl/>
        <w:jc w:val="left"/>
        <w:rPr>
          <w:rFonts w:eastAsia="Meiryo UI" w:cs="Times New Roman"/>
        </w:rPr>
      </w:pPr>
      <w:r>
        <w:rPr>
          <w:rFonts w:eastAsia="Meiryo UI" w:cs="Times New Roman"/>
        </w:rPr>
        <w:br w:type="page"/>
      </w:r>
    </w:p>
    <w:p w14:paraId="708A7D8F" w14:textId="77777777" w:rsidR="002B3F83" w:rsidRDefault="002B3F83">
      <w:pPr>
        <w:widowControl/>
        <w:jc w:val="left"/>
        <w:rPr>
          <w:rFonts w:eastAsia="Meiryo UI" w:cs="Times New Roman"/>
        </w:rPr>
      </w:pPr>
    </w:p>
    <w:p w14:paraId="04592D31" w14:textId="566C465E" w:rsidR="00016111" w:rsidRDefault="001D2A89">
      <w:pPr>
        <w:widowControl/>
        <w:jc w:val="left"/>
        <w:rPr>
          <w:rFonts w:eastAsia="Meiryo UI" w:cs="Times New Roman"/>
        </w:rPr>
      </w:pPr>
      <w:r>
        <w:rPr>
          <w:rFonts w:eastAsia="Meiryo UI" w:cs="Times New Roman"/>
          <w:noProof/>
        </w:rPr>
        <w:drawing>
          <wp:inline distT="0" distB="0" distL="0" distR="0" wp14:anchorId="6C9AF672" wp14:editId="45F13D35">
            <wp:extent cx="5101167" cy="3984877"/>
            <wp:effectExtent l="0" t="0" r="4445" b="0"/>
            <wp:docPr id="159874407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4339" cy="3995167"/>
                    </a:xfrm>
                    <a:prstGeom prst="rect">
                      <a:avLst/>
                    </a:prstGeom>
                    <a:noFill/>
                  </pic:spPr>
                </pic:pic>
              </a:graphicData>
            </a:graphic>
          </wp:inline>
        </w:drawing>
      </w:r>
    </w:p>
    <w:p w14:paraId="6C5EB96B" w14:textId="0EFCED1C" w:rsidR="002B3F83" w:rsidRDefault="002B3F83">
      <w:pPr>
        <w:widowControl/>
        <w:jc w:val="left"/>
        <w:rPr>
          <w:rFonts w:eastAsia="Meiryo UI" w:cs="Times New Roman"/>
        </w:rPr>
      </w:pPr>
      <w:r w:rsidRPr="002B3F83">
        <w:rPr>
          <w:rFonts w:eastAsia="Meiryo UI" w:cs="Times New Roman"/>
        </w:rPr>
        <w:t>Fig. 4 - QQ Plot for splendid alfonsino gillnet CPUE delta-gamma model</w:t>
      </w:r>
    </w:p>
    <w:p w14:paraId="4EA71EEE" w14:textId="77777777" w:rsidR="002B3F83" w:rsidRDefault="002B3F83">
      <w:pPr>
        <w:widowControl/>
        <w:jc w:val="left"/>
        <w:rPr>
          <w:rFonts w:eastAsia="Meiryo UI" w:cs="Times New Roman"/>
        </w:rPr>
      </w:pPr>
    </w:p>
    <w:p w14:paraId="332B8377" w14:textId="77777777" w:rsidR="002B3F83" w:rsidRDefault="002B3F83">
      <w:pPr>
        <w:widowControl/>
        <w:jc w:val="left"/>
        <w:rPr>
          <w:rFonts w:eastAsia="Meiryo UI" w:cs="Times New Roman"/>
        </w:rPr>
      </w:pPr>
    </w:p>
    <w:p w14:paraId="0C0D3DDB" w14:textId="77777777" w:rsidR="002B3F83" w:rsidRDefault="002B3F83">
      <w:pPr>
        <w:widowControl/>
        <w:jc w:val="left"/>
        <w:rPr>
          <w:rFonts w:eastAsia="Meiryo UI" w:cs="Times New Roman"/>
        </w:rPr>
      </w:pPr>
    </w:p>
    <w:p w14:paraId="79C977B3" w14:textId="77777777" w:rsidR="002B3F83" w:rsidRDefault="002B3F83">
      <w:pPr>
        <w:widowControl/>
        <w:jc w:val="left"/>
        <w:rPr>
          <w:rFonts w:eastAsia="Meiryo UI" w:cs="Times New Roman"/>
        </w:rPr>
      </w:pPr>
    </w:p>
    <w:p w14:paraId="065345E9" w14:textId="77777777" w:rsidR="002B3F83" w:rsidRDefault="002B3F83">
      <w:pPr>
        <w:widowControl/>
        <w:jc w:val="left"/>
        <w:rPr>
          <w:rFonts w:eastAsia="Meiryo UI" w:cs="Times New Roman"/>
        </w:rPr>
      </w:pPr>
    </w:p>
    <w:p w14:paraId="77BCBA19" w14:textId="77777777" w:rsidR="002B3F83" w:rsidRDefault="002B3F83">
      <w:pPr>
        <w:widowControl/>
        <w:jc w:val="left"/>
        <w:rPr>
          <w:rFonts w:eastAsia="Meiryo UI" w:cs="Times New Roman"/>
        </w:rPr>
      </w:pPr>
    </w:p>
    <w:p w14:paraId="07ABB5DD" w14:textId="77777777" w:rsidR="002B3F83" w:rsidRDefault="002B3F83">
      <w:pPr>
        <w:widowControl/>
        <w:jc w:val="left"/>
        <w:rPr>
          <w:rFonts w:eastAsia="Meiryo UI" w:cs="Times New Roman"/>
        </w:rPr>
      </w:pPr>
    </w:p>
    <w:p w14:paraId="1DE52D67" w14:textId="77777777" w:rsidR="002B3F83" w:rsidRDefault="002B3F83">
      <w:pPr>
        <w:widowControl/>
        <w:jc w:val="left"/>
        <w:rPr>
          <w:rFonts w:eastAsia="Meiryo UI" w:cs="Times New Roman"/>
        </w:rPr>
      </w:pPr>
    </w:p>
    <w:sectPr w:rsidR="002B3F83" w:rsidSect="00880A18">
      <w:footerReference w:type="default" r:id="rId13"/>
      <w:headerReference w:type="first" r:id="rId14"/>
      <w:footerReference w:type="first" r:id="rId15"/>
      <w:pgSz w:w="11906" w:h="16838"/>
      <w:pgMar w:top="1701" w:right="1225" w:bottom="1361" w:left="1225" w:header="431" w:footer="1009"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2C477" w14:textId="77777777" w:rsidR="00206BA2" w:rsidRDefault="00206BA2" w:rsidP="001E4075">
      <w:r>
        <w:separator/>
      </w:r>
    </w:p>
  </w:endnote>
  <w:endnote w:type="continuationSeparator" w:id="0">
    <w:p w14:paraId="2D450792" w14:textId="77777777" w:rsidR="00206BA2" w:rsidRDefault="00206BA2"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eiryo UI">
    <w:panose1 w:val="020B0604030504040204"/>
    <w:charset w:val="80"/>
    <w:family w:val="swiss"/>
    <w:pitch w:val="variable"/>
    <w:sig w:usb0="E00002FF" w:usb1="6AC7FFFF" w:usb2="08000012" w:usb3="00000000" w:csb0="0002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99786" w14:textId="77777777" w:rsidR="00206BA2" w:rsidRDefault="00206BA2" w:rsidP="001E4075">
      <w:r>
        <w:separator/>
      </w:r>
    </w:p>
  </w:footnote>
  <w:footnote w:type="continuationSeparator" w:id="0">
    <w:p w14:paraId="1061978B" w14:textId="77777777" w:rsidR="00206BA2" w:rsidRDefault="00206BA2"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634801866">
    <w:abstractNumId w:val="15"/>
  </w:num>
  <w:num w:numId="2" w16cid:durableId="1185054134">
    <w:abstractNumId w:val="6"/>
  </w:num>
  <w:num w:numId="3" w16cid:durableId="1409617957">
    <w:abstractNumId w:val="12"/>
  </w:num>
  <w:num w:numId="4" w16cid:durableId="343165864">
    <w:abstractNumId w:val="2"/>
  </w:num>
  <w:num w:numId="5" w16cid:durableId="1673139966">
    <w:abstractNumId w:val="4"/>
  </w:num>
  <w:num w:numId="6" w16cid:durableId="165167837">
    <w:abstractNumId w:val="3"/>
  </w:num>
  <w:num w:numId="7" w16cid:durableId="918639836">
    <w:abstractNumId w:val="10"/>
  </w:num>
  <w:num w:numId="8" w16cid:durableId="1838300384">
    <w:abstractNumId w:val="9"/>
  </w:num>
  <w:num w:numId="9" w16cid:durableId="821511089">
    <w:abstractNumId w:val="1"/>
  </w:num>
  <w:num w:numId="10" w16cid:durableId="1056273080">
    <w:abstractNumId w:val="0"/>
  </w:num>
  <w:num w:numId="11" w16cid:durableId="2118796025">
    <w:abstractNumId w:val="7"/>
  </w:num>
  <w:num w:numId="12" w16cid:durableId="643193878">
    <w:abstractNumId w:val="8"/>
  </w:num>
  <w:num w:numId="13" w16cid:durableId="396517154">
    <w:abstractNumId w:val="11"/>
  </w:num>
  <w:num w:numId="14" w16cid:durableId="1736856557">
    <w:abstractNumId w:val="14"/>
  </w:num>
  <w:num w:numId="15" w16cid:durableId="1375155958">
    <w:abstractNumId w:val="16"/>
  </w:num>
  <w:num w:numId="16" w16cid:durableId="1122530422">
    <w:abstractNumId w:val="13"/>
  </w:num>
  <w:num w:numId="17" w16cid:durableId="752624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770F"/>
    <w:rsid w:val="00016111"/>
    <w:rsid w:val="00024287"/>
    <w:rsid w:val="00027A27"/>
    <w:rsid w:val="000317CE"/>
    <w:rsid w:val="00041374"/>
    <w:rsid w:val="00051EE5"/>
    <w:rsid w:val="0005251C"/>
    <w:rsid w:val="000529C5"/>
    <w:rsid w:val="0005577E"/>
    <w:rsid w:val="000704A8"/>
    <w:rsid w:val="000834EC"/>
    <w:rsid w:val="00091A0B"/>
    <w:rsid w:val="000B2BF8"/>
    <w:rsid w:val="000D1AEF"/>
    <w:rsid w:val="000D54C3"/>
    <w:rsid w:val="000E44FE"/>
    <w:rsid w:val="000F0250"/>
    <w:rsid w:val="000F5D7B"/>
    <w:rsid w:val="000F6362"/>
    <w:rsid w:val="00101045"/>
    <w:rsid w:val="00111C61"/>
    <w:rsid w:val="0012011D"/>
    <w:rsid w:val="0012771E"/>
    <w:rsid w:val="001304E5"/>
    <w:rsid w:val="00144E25"/>
    <w:rsid w:val="00151952"/>
    <w:rsid w:val="001570D0"/>
    <w:rsid w:val="001625F3"/>
    <w:rsid w:val="0016564E"/>
    <w:rsid w:val="00166A4A"/>
    <w:rsid w:val="00174B55"/>
    <w:rsid w:val="001858A3"/>
    <w:rsid w:val="001901CC"/>
    <w:rsid w:val="00191234"/>
    <w:rsid w:val="00196842"/>
    <w:rsid w:val="001A34A1"/>
    <w:rsid w:val="001B0287"/>
    <w:rsid w:val="001D2A89"/>
    <w:rsid w:val="001D2C9F"/>
    <w:rsid w:val="001D7C47"/>
    <w:rsid w:val="001E4075"/>
    <w:rsid w:val="001E49D8"/>
    <w:rsid w:val="001E5FD1"/>
    <w:rsid w:val="001F2C3C"/>
    <w:rsid w:val="00206BA2"/>
    <w:rsid w:val="00211732"/>
    <w:rsid w:val="00212586"/>
    <w:rsid w:val="002170D9"/>
    <w:rsid w:val="002351B0"/>
    <w:rsid w:val="00240F17"/>
    <w:rsid w:val="00254CE4"/>
    <w:rsid w:val="002749CD"/>
    <w:rsid w:val="0029554A"/>
    <w:rsid w:val="002A12A6"/>
    <w:rsid w:val="002B3F83"/>
    <w:rsid w:val="002E6611"/>
    <w:rsid w:val="002F0598"/>
    <w:rsid w:val="002F7D6B"/>
    <w:rsid w:val="00312BCE"/>
    <w:rsid w:val="0031761D"/>
    <w:rsid w:val="00321065"/>
    <w:rsid w:val="003263BC"/>
    <w:rsid w:val="00330D77"/>
    <w:rsid w:val="00335600"/>
    <w:rsid w:val="00335B8B"/>
    <w:rsid w:val="00344255"/>
    <w:rsid w:val="00360AF4"/>
    <w:rsid w:val="003A2FCD"/>
    <w:rsid w:val="003B2C17"/>
    <w:rsid w:val="003C2F8A"/>
    <w:rsid w:val="003C3DEF"/>
    <w:rsid w:val="003D0988"/>
    <w:rsid w:val="003E018F"/>
    <w:rsid w:val="00414EF3"/>
    <w:rsid w:val="00420F92"/>
    <w:rsid w:val="0042324B"/>
    <w:rsid w:val="00443B02"/>
    <w:rsid w:val="00443D62"/>
    <w:rsid w:val="00446F32"/>
    <w:rsid w:val="00453F3C"/>
    <w:rsid w:val="00461ADE"/>
    <w:rsid w:val="0046235F"/>
    <w:rsid w:val="00473456"/>
    <w:rsid w:val="0047355B"/>
    <w:rsid w:val="00483C8A"/>
    <w:rsid w:val="004B3FEA"/>
    <w:rsid w:val="004F59AF"/>
    <w:rsid w:val="005323E4"/>
    <w:rsid w:val="005349F7"/>
    <w:rsid w:val="005363DF"/>
    <w:rsid w:val="00544511"/>
    <w:rsid w:val="00546F75"/>
    <w:rsid w:val="00551342"/>
    <w:rsid w:val="00552ACE"/>
    <w:rsid w:val="00554989"/>
    <w:rsid w:val="00555962"/>
    <w:rsid w:val="00577519"/>
    <w:rsid w:val="00591EC0"/>
    <w:rsid w:val="005A58E9"/>
    <w:rsid w:val="005C3C1B"/>
    <w:rsid w:val="005D4CE7"/>
    <w:rsid w:val="005F4B0A"/>
    <w:rsid w:val="006335E8"/>
    <w:rsid w:val="006454D3"/>
    <w:rsid w:val="006563AE"/>
    <w:rsid w:val="006670C7"/>
    <w:rsid w:val="006805D6"/>
    <w:rsid w:val="0069247F"/>
    <w:rsid w:val="006B4F3E"/>
    <w:rsid w:val="006D5D85"/>
    <w:rsid w:val="006E6863"/>
    <w:rsid w:val="006F18A3"/>
    <w:rsid w:val="00702A3B"/>
    <w:rsid w:val="00706704"/>
    <w:rsid w:val="00710CC4"/>
    <w:rsid w:val="00712C20"/>
    <w:rsid w:val="007176E2"/>
    <w:rsid w:val="00731CF3"/>
    <w:rsid w:val="007430AD"/>
    <w:rsid w:val="0074396C"/>
    <w:rsid w:val="007509A1"/>
    <w:rsid w:val="007520B6"/>
    <w:rsid w:val="007543D8"/>
    <w:rsid w:val="00762BF6"/>
    <w:rsid w:val="00770C12"/>
    <w:rsid w:val="00772DD1"/>
    <w:rsid w:val="00787B59"/>
    <w:rsid w:val="00792CFB"/>
    <w:rsid w:val="00792E9F"/>
    <w:rsid w:val="00797B8B"/>
    <w:rsid w:val="007A0BF5"/>
    <w:rsid w:val="007B09F9"/>
    <w:rsid w:val="007B0EC6"/>
    <w:rsid w:val="007E50DD"/>
    <w:rsid w:val="007F4819"/>
    <w:rsid w:val="00815417"/>
    <w:rsid w:val="00824B2F"/>
    <w:rsid w:val="0085242C"/>
    <w:rsid w:val="008553BF"/>
    <w:rsid w:val="0087125A"/>
    <w:rsid w:val="00880204"/>
    <w:rsid w:val="00880A18"/>
    <w:rsid w:val="00880A8A"/>
    <w:rsid w:val="008832D9"/>
    <w:rsid w:val="008B05BD"/>
    <w:rsid w:val="008B501E"/>
    <w:rsid w:val="008C08D0"/>
    <w:rsid w:val="008C25B1"/>
    <w:rsid w:val="008E16D1"/>
    <w:rsid w:val="008F0B41"/>
    <w:rsid w:val="00921C3E"/>
    <w:rsid w:val="00923FC6"/>
    <w:rsid w:val="0093385F"/>
    <w:rsid w:val="00952D36"/>
    <w:rsid w:val="0098034E"/>
    <w:rsid w:val="00985457"/>
    <w:rsid w:val="00991E28"/>
    <w:rsid w:val="009940EF"/>
    <w:rsid w:val="00997B61"/>
    <w:rsid w:val="009A55A7"/>
    <w:rsid w:val="009C5E77"/>
    <w:rsid w:val="009D1AF4"/>
    <w:rsid w:val="009D2089"/>
    <w:rsid w:val="009D5058"/>
    <w:rsid w:val="009E00BA"/>
    <w:rsid w:val="009E412A"/>
    <w:rsid w:val="009E44B4"/>
    <w:rsid w:val="009F460E"/>
    <w:rsid w:val="009F4D55"/>
    <w:rsid w:val="00A12701"/>
    <w:rsid w:val="00A14A9A"/>
    <w:rsid w:val="00A17943"/>
    <w:rsid w:val="00A24DD9"/>
    <w:rsid w:val="00A37CDC"/>
    <w:rsid w:val="00A423E7"/>
    <w:rsid w:val="00A46FC5"/>
    <w:rsid w:val="00A5267E"/>
    <w:rsid w:val="00A55FC4"/>
    <w:rsid w:val="00A7704B"/>
    <w:rsid w:val="00AA678F"/>
    <w:rsid w:val="00AB0297"/>
    <w:rsid w:val="00AB5C85"/>
    <w:rsid w:val="00AC6A21"/>
    <w:rsid w:val="00AE7F10"/>
    <w:rsid w:val="00B13E26"/>
    <w:rsid w:val="00B14F50"/>
    <w:rsid w:val="00B31BC0"/>
    <w:rsid w:val="00B33E71"/>
    <w:rsid w:val="00B46C6B"/>
    <w:rsid w:val="00B62AE1"/>
    <w:rsid w:val="00B640C8"/>
    <w:rsid w:val="00B712BB"/>
    <w:rsid w:val="00B75AC8"/>
    <w:rsid w:val="00B8528B"/>
    <w:rsid w:val="00B94D24"/>
    <w:rsid w:val="00BB18A0"/>
    <w:rsid w:val="00BB1FD8"/>
    <w:rsid w:val="00BB5E3D"/>
    <w:rsid w:val="00BE39A4"/>
    <w:rsid w:val="00BF6A19"/>
    <w:rsid w:val="00BF71DF"/>
    <w:rsid w:val="00C10A77"/>
    <w:rsid w:val="00C423EA"/>
    <w:rsid w:val="00C50E07"/>
    <w:rsid w:val="00C83C38"/>
    <w:rsid w:val="00C90ACE"/>
    <w:rsid w:val="00C922BD"/>
    <w:rsid w:val="00CA08CC"/>
    <w:rsid w:val="00CC48E0"/>
    <w:rsid w:val="00CE36AD"/>
    <w:rsid w:val="00CE4C3E"/>
    <w:rsid w:val="00CF15A6"/>
    <w:rsid w:val="00D3496B"/>
    <w:rsid w:val="00D34FC1"/>
    <w:rsid w:val="00D42168"/>
    <w:rsid w:val="00D46558"/>
    <w:rsid w:val="00D46887"/>
    <w:rsid w:val="00D503E4"/>
    <w:rsid w:val="00D62613"/>
    <w:rsid w:val="00D83915"/>
    <w:rsid w:val="00D856B5"/>
    <w:rsid w:val="00D90BD7"/>
    <w:rsid w:val="00DA192E"/>
    <w:rsid w:val="00DA2D56"/>
    <w:rsid w:val="00DA7754"/>
    <w:rsid w:val="00DC6078"/>
    <w:rsid w:val="00DE6EF4"/>
    <w:rsid w:val="00DF1F3C"/>
    <w:rsid w:val="00E1388A"/>
    <w:rsid w:val="00E17A80"/>
    <w:rsid w:val="00E207AE"/>
    <w:rsid w:val="00E2104C"/>
    <w:rsid w:val="00E5555A"/>
    <w:rsid w:val="00E575D4"/>
    <w:rsid w:val="00E71DE8"/>
    <w:rsid w:val="00E8004D"/>
    <w:rsid w:val="00E83027"/>
    <w:rsid w:val="00E8413E"/>
    <w:rsid w:val="00E91E89"/>
    <w:rsid w:val="00EE5D77"/>
    <w:rsid w:val="00EF1D82"/>
    <w:rsid w:val="00EF6AF9"/>
    <w:rsid w:val="00EF6ECA"/>
    <w:rsid w:val="00F01870"/>
    <w:rsid w:val="00F32B7D"/>
    <w:rsid w:val="00F56E9B"/>
    <w:rsid w:val="00F60181"/>
    <w:rsid w:val="00F658B7"/>
    <w:rsid w:val="00F71DE4"/>
    <w:rsid w:val="00F741B4"/>
    <w:rsid w:val="00F9558E"/>
    <w:rsid w:val="00FA0554"/>
    <w:rsid w:val="00FB7FC2"/>
    <w:rsid w:val="00FC04AA"/>
    <w:rsid w:val="00FC15E9"/>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paragraph" w:styleId="Bibliography">
    <w:name w:val="Bibliography"/>
    <w:basedOn w:val="Normal"/>
    <w:next w:val="Normal"/>
    <w:uiPriority w:val="37"/>
    <w:semiHidden/>
    <w:unhideWhenUsed/>
    <w:rsid w:val="00B31BC0"/>
  </w:style>
  <w:style w:type="character" w:styleId="CommentReference">
    <w:name w:val="annotation reference"/>
    <w:basedOn w:val="DefaultParagraphFont"/>
    <w:uiPriority w:val="99"/>
    <w:semiHidden/>
    <w:unhideWhenUsed/>
    <w:rsid w:val="00A46FC5"/>
    <w:rPr>
      <w:sz w:val="16"/>
      <w:szCs w:val="16"/>
    </w:rPr>
  </w:style>
  <w:style w:type="paragraph" w:styleId="CommentText">
    <w:name w:val="annotation text"/>
    <w:basedOn w:val="Normal"/>
    <w:link w:val="CommentTextChar"/>
    <w:uiPriority w:val="99"/>
    <w:unhideWhenUsed/>
    <w:rsid w:val="00A46FC5"/>
    <w:rPr>
      <w:sz w:val="20"/>
      <w:szCs w:val="20"/>
    </w:rPr>
  </w:style>
  <w:style w:type="character" w:customStyle="1" w:styleId="CommentTextChar">
    <w:name w:val="Comment Text Char"/>
    <w:basedOn w:val="DefaultParagraphFont"/>
    <w:link w:val="CommentText"/>
    <w:uiPriority w:val="99"/>
    <w:rsid w:val="00A46F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46FC5"/>
    <w:rPr>
      <w:b/>
      <w:bCs/>
    </w:rPr>
  </w:style>
  <w:style w:type="character" w:customStyle="1" w:styleId="CommentSubjectChar">
    <w:name w:val="Comment Subject Char"/>
    <w:basedOn w:val="CommentTextChar"/>
    <w:link w:val="CommentSubject"/>
    <w:uiPriority w:val="99"/>
    <w:semiHidden/>
    <w:rsid w:val="00A46FC5"/>
    <w:rPr>
      <w:rFonts w:ascii="Times New Roman" w:hAnsi="Times New Roman"/>
      <w:b/>
      <w:bCs/>
      <w:sz w:val="20"/>
      <w:szCs w:val="20"/>
    </w:rPr>
  </w:style>
  <w:style w:type="paragraph" w:styleId="NormalWeb">
    <w:name w:val="Normal (Web)"/>
    <w:basedOn w:val="Normal"/>
    <w:uiPriority w:val="99"/>
    <w:semiHidden/>
    <w:unhideWhenUsed/>
    <w:rsid w:val="009D5058"/>
    <w:pPr>
      <w:widowControl/>
      <w:spacing w:before="100" w:beforeAutospacing="1" w:after="100" w:afterAutospacing="1"/>
      <w:jc w:val="left"/>
    </w:pPr>
    <w:rPr>
      <w:rFonts w:eastAsia="Times New Roman" w:cs="Times New Roman"/>
      <w:kern w:val="0"/>
      <w:szCs w:val="24"/>
    </w:rPr>
  </w:style>
  <w:style w:type="paragraph" w:styleId="Revision">
    <w:name w:val="Revision"/>
    <w:hidden/>
    <w:uiPriority w:val="99"/>
    <w:semiHidden/>
    <w:rsid w:val="00FC15E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wmf"/><Relationship Id="rId1" Type="http://schemas.openxmlformats.org/officeDocument/2006/relationships/image" Target="media/image6.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2379D-3938-437C-A514-D7E55D2B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1390</Words>
  <Characters>7605</Characters>
  <Application>Microsoft Office Word</Application>
  <DocSecurity>0</DocSecurity>
  <Lines>230</Lines>
  <Paragraphs>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3</cp:revision>
  <cp:lastPrinted>2017-09-04T06:52:00Z</cp:lastPrinted>
  <dcterms:created xsi:type="dcterms:W3CDTF">2025-11-07T08:48:00Z</dcterms:created>
  <dcterms:modified xsi:type="dcterms:W3CDTF">2025-11-08T01:36:00Z</dcterms:modified>
</cp:coreProperties>
</file>