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5521" w14:textId="165CD8DD" w:rsidR="008809F8" w:rsidRDefault="008809F8" w:rsidP="00AB16B8">
      <w:pPr>
        <w:jc w:val="right"/>
        <w:rPr>
          <w:rFonts w:ascii="Times New Roman" w:hAnsi="Times New Roman"/>
        </w:rPr>
      </w:pPr>
      <w:r>
        <w:rPr>
          <w:rFonts w:ascii="Times New Roman" w:hAnsi="Times New Roman" w:hint="eastAsia"/>
        </w:rPr>
        <w:t>NPFC-2025-SC10-WP</w:t>
      </w:r>
      <w:r w:rsidR="00AB16B8">
        <w:rPr>
          <w:rFonts w:ascii="Times New Roman" w:hAnsi="Times New Roman"/>
        </w:rPr>
        <w:t>22</w:t>
      </w:r>
      <w:r w:rsidR="006C04C2">
        <w:rPr>
          <w:rFonts w:ascii="Times New Roman" w:hAnsi="Times New Roman"/>
        </w:rPr>
        <w:t xml:space="preserve"> </w:t>
      </w:r>
      <w:r w:rsidR="00451724">
        <w:rPr>
          <w:rFonts w:ascii="Times New Roman" w:hAnsi="Times New Roman" w:hint="eastAsia"/>
        </w:rPr>
        <w:t>(Rev</w:t>
      </w:r>
      <w:r w:rsidR="006C04C2">
        <w:rPr>
          <w:rFonts w:ascii="Times New Roman" w:hAnsi="Times New Roman"/>
        </w:rPr>
        <w:t xml:space="preserve">. </w:t>
      </w:r>
      <w:r w:rsidR="004E69D3">
        <w:rPr>
          <w:rFonts w:ascii="Times New Roman" w:hAnsi="Times New Roman" w:hint="eastAsia"/>
        </w:rPr>
        <w:t>2</w:t>
      </w:r>
      <w:r w:rsidR="00451724">
        <w:rPr>
          <w:rFonts w:ascii="Times New Roman" w:hAnsi="Times New Roman" w:hint="eastAsia"/>
        </w:rPr>
        <w:t>)</w:t>
      </w:r>
    </w:p>
    <w:p w14:paraId="663719F4" w14:textId="2B02B770" w:rsidR="00E20BC8" w:rsidRPr="008809F8" w:rsidRDefault="00385027" w:rsidP="00AC63AA">
      <w:pPr>
        <w:jc w:val="both"/>
        <w:rPr>
          <w:rFonts w:ascii="Times New Roman" w:hAnsi="Times New Roman"/>
          <w:b/>
          <w:bCs/>
        </w:rPr>
      </w:pPr>
      <w:r w:rsidRPr="008809F8">
        <w:rPr>
          <w:rFonts w:ascii="Times New Roman" w:hAnsi="Times New Roman" w:hint="eastAsia"/>
          <w:b/>
          <w:bCs/>
        </w:rPr>
        <w:t xml:space="preserve">Response to </w:t>
      </w:r>
      <w:r w:rsidR="00557C1F">
        <w:rPr>
          <w:rFonts w:ascii="Times New Roman" w:hAnsi="Times New Roman" w:hint="eastAsia"/>
          <w:b/>
          <w:bCs/>
        </w:rPr>
        <w:t>T</w:t>
      </w:r>
      <w:r w:rsidRPr="008809F8">
        <w:rPr>
          <w:rFonts w:ascii="Times New Roman" w:hAnsi="Times New Roman" w:hint="eastAsia"/>
          <w:b/>
          <w:bCs/>
        </w:rPr>
        <w:t>asks from COM9 to TWG CMSA</w:t>
      </w:r>
    </w:p>
    <w:p w14:paraId="3C37BCA0" w14:textId="1EDC4395" w:rsidR="00385027" w:rsidRPr="00385027" w:rsidRDefault="006E4979" w:rsidP="00AC63AA">
      <w:pPr>
        <w:jc w:val="both"/>
        <w:rPr>
          <w:rFonts w:ascii="Times New Roman" w:hAnsi="Times New Roman"/>
        </w:rPr>
      </w:pPr>
      <w:r>
        <w:rPr>
          <w:rFonts w:ascii="Times New Roman" w:hAnsi="Times New Roman" w:hint="eastAsia"/>
        </w:rPr>
        <w:t>Technical Working Group on Chub Mackerel Stock Assessment (TWG CMSA)</w:t>
      </w:r>
    </w:p>
    <w:p w14:paraId="1E84AEA6" w14:textId="77777777" w:rsidR="00385027" w:rsidRDefault="00385027" w:rsidP="00AC63AA">
      <w:pPr>
        <w:jc w:val="both"/>
        <w:rPr>
          <w:rFonts w:ascii="Times New Roman" w:hAnsi="Times New Roman"/>
        </w:rPr>
      </w:pPr>
    </w:p>
    <w:p w14:paraId="310B4223" w14:textId="348C6609" w:rsidR="00900C8E" w:rsidRPr="00FD25BB" w:rsidRDefault="00900C8E" w:rsidP="00AC63AA">
      <w:pPr>
        <w:pStyle w:val="a9"/>
        <w:numPr>
          <w:ilvl w:val="0"/>
          <w:numId w:val="5"/>
        </w:numPr>
        <w:jc w:val="both"/>
        <w:rPr>
          <w:rFonts w:ascii="Times New Roman" w:hAnsi="Times New Roman"/>
          <w:b/>
          <w:bCs/>
        </w:rPr>
      </w:pPr>
      <w:r w:rsidRPr="00FD25BB">
        <w:rPr>
          <w:rFonts w:ascii="Times New Roman" w:hAnsi="Times New Roman" w:hint="eastAsia"/>
          <w:b/>
          <w:bCs/>
        </w:rPr>
        <w:t>Background</w:t>
      </w:r>
    </w:p>
    <w:p w14:paraId="4AF1F08C" w14:textId="51D1BD9F" w:rsidR="00385027" w:rsidRDefault="00AC63AA" w:rsidP="00AC63AA">
      <w:pPr>
        <w:jc w:val="both"/>
        <w:rPr>
          <w:rFonts w:ascii="Times New Roman" w:hAnsi="Times New Roman"/>
        </w:rPr>
      </w:pPr>
      <w:r w:rsidRPr="00AC63AA">
        <w:rPr>
          <w:rFonts w:ascii="Times New Roman" w:hAnsi="Times New Roman"/>
        </w:rPr>
        <w:t>At COM09, the Commission tasked the TWG CMSA with the following</w:t>
      </w:r>
      <w:r w:rsidR="00385027">
        <w:rPr>
          <w:rFonts w:ascii="Times New Roman" w:hAnsi="Times New Roman" w:hint="eastAsia"/>
        </w:rPr>
        <w:t xml:space="preserve"> (NPFC-2025-COM09-WP17):</w:t>
      </w:r>
    </w:p>
    <w:p w14:paraId="0D1B58D9" w14:textId="1EB8CEFD" w:rsidR="00385027" w:rsidRPr="00385027" w:rsidRDefault="00385027" w:rsidP="00AC63AA">
      <w:pPr>
        <w:pStyle w:val="a9"/>
        <w:numPr>
          <w:ilvl w:val="0"/>
          <w:numId w:val="1"/>
        </w:numPr>
        <w:jc w:val="both"/>
        <w:rPr>
          <w:rFonts w:ascii="Times New Roman" w:hAnsi="Times New Roman"/>
        </w:rPr>
      </w:pPr>
      <w:r w:rsidRPr="00385027">
        <w:rPr>
          <w:rFonts w:ascii="Times New Roman" w:hAnsi="Times New Roman"/>
        </w:rPr>
        <w:t>Provision and analysis of gear specific data to explore whether there is a need to protect the immature portion of the stock and advice on options for achieving that, as appropriate. This includes also accessory devices used for fishing purposes, such as FADs, light devices, etc.</w:t>
      </w:r>
    </w:p>
    <w:p w14:paraId="6D2C2837" w14:textId="03197C6E" w:rsidR="00385027" w:rsidRPr="00385027" w:rsidRDefault="00385027" w:rsidP="00AC63AA">
      <w:pPr>
        <w:pStyle w:val="a9"/>
        <w:numPr>
          <w:ilvl w:val="0"/>
          <w:numId w:val="1"/>
        </w:numPr>
        <w:jc w:val="both"/>
        <w:rPr>
          <w:rFonts w:ascii="Times New Roman" w:hAnsi="Times New Roman"/>
        </w:rPr>
      </w:pPr>
      <w:r w:rsidRPr="00385027">
        <w:rPr>
          <w:rFonts w:ascii="Times New Roman" w:hAnsi="Times New Roman"/>
        </w:rPr>
        <w:t>Clarification of the correspondence of fishing days and the level of catch in relevant fleets, such as the purse seine fleet.</w:t>
      </w:r>
    </w:p>
    <w:p w14:paraId="3B278B0A" w14:textId="26281702" w:rsidR="00385027" w:rsidRPr="00385027" w:rsidRDefault="00385027" w:rsidP="00AC63AA">
      <w:pPr>
        <w:pStyle w:val="a9"/>
        <w:numPr>
          <w:ilvl w:val="0"/>
          <w:numId w:val="1"/>
        </w:numPr>
        <w:jc w:val="both"/>
        <w:rPr>
          <w:rFonts w:ascii="Times New Roman" w:hAnsi="Times New Roman"/>
        </w:rPr>
      </w:pPr>
      <w:r w:rsidRPr="00385027">
        <w:rPr>
          <w:rFonts w:ascii="Times New Roman" w:hAnsi="Times New Roman"/>
        </w:rPr>
        <w:t>Based on the next stock assessment, provide projections and associated probabilities, based on constant catch scenarios (e.g. increments of 5.000 mt) or constant F scenarios, aiming at reaching an appropriate MSY proxy (SSB and F) within 5 to 10 years [with a probability higher than 50%.]</w:t>
      </w:r>
    </w:p>
    <w:p w14:paraId="65DDD22A" w14:textId="4D07E41C" w:rsidR="00385027" w:rsidRPr="003E7856" w:rsidRDefault="008809F8" w:rsidP="00AC63AA">
      <w:pPr>
        <w:jc w:val="both"/>
        <w:rPr>
          <w:rFonts w:ascii="Times New Roman" w:eastAsia="DengXian" w:hAnsi="Times New Roman"/>
          <w:lang w:eastAsia="zh-CN"/>
        </w:rPr>
      </w:pPr>
      <w:r>
        <w:rPr>
          <w:rFonts w:ascii="Times New Roman" w:hAnsi="Times New Roman" w:hint="eastAsia"/>
        </w:rPr>
        <w:t xml:space="preserve">The third task </w:t>
      </w:r>
      <w:r w:rsidR="00AC63AA">
        <w:rPr>
          <w:rFonts w:ascii="Times New Roman" w:hAnsi="Times New Roman" w:hint="eastAsia"/>
        </w:rPr>
        <w:t>has been addressed through</w:t>
      </w:r>
      <w:r w:rsidR="001C3961">
        <w:rPr>
          <w:rFonts w:ascii="Times New Roman" w:hAnsi="Times New Roman" w:hint="eastAsia"/>
        </w:rPr>
        <w:t xml:space="preserve"> the future </w:t>
      </w:r>
      <w:r w:rsidR="001C3961">
        <w:rPr>
          <w:rFonts w:ascii="Times New Roman" w:hAnsi="Times New Roman"/>
        </w:rPr>
        <w:t>projection</w:t>
      </w:r>
      <w:r w:rsidR="00AC63AA">
        <w:rPr>
          <w:rFonts w:ascii="Times New Roman" w:hAnsi="Times New Roman" w:hint="eastAsia"/>
        </w:rPr>
        <w:t>s</w:t>
      </w:r>
      <w:r w:rsidR="001C3961">
        <w:rPr>
          <w:rFonts w:ascii="Times New Roman" w:hAnsi="Times New Roman" w:hint="eastAsia"/>
        </w:rPr>
        <w:t xml:space="preserve"> </w:t>
      </w:r>
      <w:r w:rsidR="00AC63AA">
        <w:rPr>
          <w:rFonts w:ascii="Times New Roman" w:hAnsi="Times New Roman" w:hint="eastAsia"/>
        </w:rPr>
        <w:t xml:space="preserve">as part of the 2025 </w:t>
      </w:r>
      <w:r w:rsidR="001C3961">
        <w:rPr>
          <w:rFonts w:ascii="Times New Roman" w:hAnsi="Times New Roman" w:hint="eastAsia"/>
        </w:rPr>
        <w:t xml:space="preserve">chub mackerel stock assessment. This paper </w:t>
      </w:r>
      <w:r w:rsidR="00AC63AA">
        <w:rPr>
          <w:rFonts w:ascii="Times New Roman" w:hAnsi="Times New Roman" w:hint="eastAsia"/>
        </w:rPr>
        <w:t xml:space="preserve">therefore </w:t>
      </w:r>
      <w:r w:rsidR="001C3961">
        <w:rPr>
          <w:rFonts w:ascii="Times New Roman" w:hAnsi="Times New Roman" w:hint="eastAsia"/>
        </w:rPr>
        <w:t xml:space="preserve">provides </w:t>
      </w:r>
      <w:r w:rsidR="00AC63AA">
        <w:rPr>
          <w:rFonts w:ascii="Times New Roman" w:hAnsi="Times New Roman" w:hint="eastAsia"/>
        </w:rPr>
        <w:t>the TWG CMSA</w:t>
      </w:r>
      <w:r w:rsidR="00AC63AA">
        <w:rPr>
          <w:rFonts w:ascii="Times New Roman" w:hAnsi="Times New Roman"/>
        </w:rPr>
        <w:t>’</w:t>
      </w:r>
      <w:r w:rsidR="00AC63AA">
        <w:rPr>
          <w:rFonts w:ascii="Times New Roman" w:hAnsi="Times New Roman" w:hint="eastAsia"/>
        </w:rPr>
        <w:t xml:space="preserve">s </w:t>
      </w:r>
      <w:r w:rsidR="001C3961">
        <w:rPr>
          <w:rFonts w:ascii="Times New Roman" w:hAnsi="Times New Roman" w:hint="eastAsia"/>
        </w:rPr>
        <w:t xml:space="preserve">responses to </w:t>
      </w:r>
      <w:r w:rsidR="00AC63AA">
        <w:rPr>
          <w:rFonts w:ascii="Times New Roman" w:hAnsi="Times New Roman" w:hint="eastAsia"/>
        </w:rPr>
        <w:t>Tasks 1 and 2</w:t>
      </w:r>
      <w:r w:rsidR="003943BF">
        <w:rPr>
          <w:rFonts w:ascii="DengXian" w:eastAsia="DengXian" w:hAnsi="DengXian" w:hint="eastAsia"/>
          <w:lang w:eastAsia="zh-CN"/>
        </w:rPr>
        <w:t>.</w:t>
      </w:r>
    </w:p>
    <w:p w14:paraId="19BC70A4" w14:textId="77777777" w:rsidR="001C3961" w:rsidRPr="006E4979" w:rsidRDefault="001C3961" w:rsidP="00AC63AA">
      <w:pPr>
        <w:jc w:val="both"/>
        <w:rPr>
          <w:rFonts w:ascii="Times New Roman" w:hAnsi="Times New Roman"/>
        </w:rPr>
      </w:pPr>
    </w:p>
    <w:p w14:paraId="658531B6" w14:textId="1316B242" w:rsidR="001C3961" w:rsidRPr="00FD25BB" w:rsidRDefault="00AC63AA" w:rsidP="00AC63AA">
      <w:pPr>
        <w:pStyle w:val="a9"/>
        <w:numPr>
          <w:ilvl w:val="0"/>
          <w:numId w:val="5"/>
        </w:numPr>
        <w:jc w:val="both"/>
        <w:rPr>
          <w:rFonts w:ascii="Times New Roman" w:hAnsi="Times New Roman"/>
          <w:b/>
          <w:bCs/>
        </w:rPr>
      </w:pPr>
      <w:r>
        <w:rPr>
          <w:rFonts w:ascii="Times New Roman" w:hAnsi="Times New Roman" w:hint="eastAsia"/>
          <w:b/>
          <w:bCs/>
        </w:rPr>
        <w:t xml:space="preserve">Response to </w:t>
      </w:r>
      <w:r w:rsidR="001C3961" w:rsidRPr="00FD25BB">
        <w:rPr>
          <w:rFonts w:ascii="Times New Roman" w:hAnsi="Times New Roman" w:hint="eastAsia"/>
          <w:b/>
          <w:bCs/>
        </w:rPr>
        <w:t>Task 1</w:t>
      </w:r>
    </w:p>
    <w:p w14:paraId="35124E12" w14:textId="170289DF" w:rsidR="00066106" w:rsidRPr="00066106" w:rsidRDefault="004E69D3" w:rsidP="00066106">
      <w:pPr>
        <w:jc w:val="both"/>
        <w:rPr>
          <w:rFonts w:ascii="Times New Roman" w:hAnsi="Times New Roman"/>
        </w:rPr>
      </w:pPr>
      <w:r w:rsidRPr="004E69D3">
        <w:rPr>
          <w:rFonts w:ascii="Times New Roman" w:hAnsi="Times New Roman"/>
        </w:rPr>
        <w:t xml:space="preserve">The TWG CMSA examined various model outputs available from the SAM assessment model in an attempt to address the issue of whether more protections were needed for the immature portions of the stock. However, after extensive discussion and preliminary analyses, it was determined that none of the model outputs were alone sufficient to address this issue. </w:t>
      </w:r>
      <w:r w:rsidR="00066106" w:rsidRPr="00066106">
        <w:rPr>
          <w:rFonts w:ascii="Times New Roman" w:hAnsi="Times New Roman"/>
        </w:rPr>
        <w:t xml:space="preserve">In order to respond to this Task thoroughly, </w:t>
      </w:r>
      <w:r w:rsidR="00066106">
        <w:rPr>
          <w:rFonts w:ascii="Times New Roman" w:hAnsi="Times New Roman" w:hint="eastAsia"/>
        </w:rPr>
        <w:t xml:space="preserve">the </w:t>
      </w:r>
      <w:r w:rsidR="00066106" w:rsidRPr="00066106">
        <w:rPr>
          <w:rFonts w:ascii="Times New Roman" w:hAnsi="Times New Roman"/>
        </w:rPr>
        <w:t>TWG CMSA needs gear specific catch</w:t>
      </w:r>
      <w:r w:rsidR="00066106">
        <w:rPr>
          <w:rFonts w:ascii="Times New Roman" w:hAnsi="Times New Roman" w:hint="eastAsia"/>
        </w:rPr>
        <w:t>-at-</w:t>
      </w:r>
      <w:r w:rsidR="00066106" w:rsidRPr="00066106">
        <w:rPr>
          <w:rFonts w:ascii="Times New Roman" w:hAnsi="Times New Roman"/>
        </w:rPr>
        <w:t>age</w:t>
      </w:r>
      <w:r w:rsidR="00066106">
        <w:rPr>
          <w:rFonts w:ascii="Times New Roman" w:hAnsi="Times New Roman" w:hint="eastAsia"/>
        </w:rPr>
        <w:t xml:space="preserve"> / catch-at-length</w:t>
      </w:r>
      <w:r w:rsidR="00066106" w:rsidRPr="00066106">
        <w:rPr>
          <w:rFonts w:ascii="Times New Roman" w:hAnsi="Times New Roman"/>
        </w:rPr>
        <w:t xml:space="preserve"> data by all Members, which is currently not submitted through data submission requirement. Should Commission wish this Task to be completed, Commission should require the Members to submit such data </w:t>
      </w:r>
      <w:r w:rsidR="00066106">
        <w:rPr>
          <w:rFonts w:ascii="Times New Roman" w:hAnsi="Times New Roman" w:hint="eastAsia"/>
        </w:rPr>
        <w:t xml:space="preserve">including </w:t>
      </w:r>
      <w:r w:rsidR="00066106" w:rsidRPr="00066106">
        <w:rPr>
          <w:rFonts w:ascii="Times New Roman" w:hAnsi="Times New Roman"/>
        </w:rPr>
        <w:t>accessory devices used for fishing purposes</w:t>
      </w:r>
      <w:r w:rsidR="00066106">
        <w:rPr>
          <w:rFonts w:ascii="Times New Roman" w:hAnsi="Times New Roman" w:hint="eastAsia"/>
        </w:rPr>
        <w:t xml:space="preserve"> </w:t>
      </w:r>
      <w:r w:rsidR="00066106" w:rsidRPr="00066106">
        <w:rPr>
          <w:rFonts w:ascii="Times New Roman" w:hAnsi="Times New Roman"/>
        </w:rPr>
        <w:t>for both the Convention area and EEZs.</w:t>
      </w:r>
    </w:p>
    <w:p w14:paraId="4B9B3ED6" w14:textId="77777777" w:rsidR="00FD25BB" w:rsidRPr="006F75FB" w:rsidRDefault="00FD25BB" w:rsidP="00AC63AA">
      <w:pPr>
        <w:jc w:val="both"/>
        <w:rPr>
          <w:rFonts w:ascii="Times New Roman" w:hAnsi="Times New Roman"/>
        </w:rPr>
      </w:pPr>
    </w:p>
    <w:p w14:paraId="4B021857" w14:textId="10F35736" w:rsidR="00FD25BB" w:rsidRPr="00FD25BB" w:rsidRDefault="00AC63AA" w:rsidP="00AC63AA">
      <w:pPr>
        <w:pStyle w:val="a9"/>
        <w:numPr>
          <w:ilvl w:val="0"/>
          <w:numId w:val="5"/>
        </w:numPr>
        <w:jc w:val="both"/>
        <w:rPr>
          <w:rFonts w:ascii="Times New Roman" w:hAnsi="Times New Roman"/>
          <w:b/>
          <w:bCs/>
        </w:rPr>
      </w:pPr>
      <w:r>
        <w:rPr>
          <w:rFonts w:ascii="Times New Roman" w:hAnsi="Times New Roman" w:hint="eastAsia"/>
          <w:b/>
          <w:bCs/>
        </w:rPr>
        <w:lastRenderedPageBreak/>
        <w:t xml:space="preserve">Response to </w:t>
      </w:r>
      <w:r w:rsidR="00FD25BB" w:rsidRPr="00FD25BB">
        <w:rPr>
          <w:rFonts w:ascii="Times New Roman" w:hAnsi="Times New Roman" w:hint="eastAsia"/>
          <w:b/>
          <w:bCs/>
        </w:rPr>
        <w:t>Task 2</w:t>
      </w:r>
    </w:p>
    <w:p w14:paraId="2C3B9AB4" w14:textId="77777777" w:rsidR="000C45ED" w:rsidRDefault="00FD25BB" w:rsidP="00AC63AA">
      <w:pPr>
        <w:jc w:val="both"/>
        <w:rPr>
          <w:rFonts w:ascii="Times New Roman" w:hAnsi="Times New Roman"/>
        </w:rPr>
      </w:pPr>
      <w:r w:rsidRPr="00557C1F">
        <w:rPr>
          <w:rFonts w:ascii="Times New Roman" w:hAnsi="Times New Roman"/>
        </w:rPr>
        <w:t>As a first step for responding to task #2 from the Commission, the TWG CMSA agreed to prepare a description of how each Member defines and calculates “fishing day” and to present this information to SC10, and, in the longer-term, to work towards a common methodology for defining and calculating “fishing day”</w:t>
      </w:r>
      <w:r>
        <w:rPr>
          <w:rFonts w:ascii="Times New Roman" w:hAnsi="Times New Roman" w:hint="eastAsia"/>
        </w:rPr>
        <w:t xml:space="preserve"> (</w:t>
      </w:r>
      <w:r w:rsidRPr="001C3961">
        <w:rPr>
          <w:rFonts w:ascii="Times New Roman" w:hAnsi="Times New Roman"/>
        </w:rPr>
        <w:t>NPFC-2025-TWG CMSA11-Final Report</w:t>
      </w:r>
      <w:r>
        <w:rPr>
          <w:rFonts w:ascii="Times New Roman" w:hAnsi="Times New Roman" w:hint="eastAsia"/>
        </w:rPr>
        <w:t xml:space="preserve">). </w:t>
      </w:r>
    </w:p>
    <w:p w14:paraId="23521910" w14:textId="290C89A4" w:rsidR="00FD25BB" w:rsidRDefault="000C45ED" w:rsidP="00AC63AA">
      <w:pPr>
        <w:jc w:val="both"/>
        <w:rPr>
          <w:rFonts w:ascii="Times New Roman" w:hAnsi="Times New Roman"/>
        </w:rPr>
      </w:pPr>
      <w:r w:rsidRPr="000C45ED">
        <w:rPr>
          <w:rFonts w:ascii="Times New Roman" w:hAnsi="Times New Roman"/>
        </w:rPr>
        <w:t>Descriptions provided by Members are compiled below.</w:t>
      </w:r>
    </w:p>
    <w:p w14:paraId="35734BFD" w14:textId="77777777" w:rsidR="000C45ED" w:rsidRDefault="000C45ED" w:rsidP="00AC63AA">
      <w:pPr>
        <w:jc w:val="both"/>
        <w:rPr>
          <w:rFonts w:ascii="Times New Roman" w:hAnsi="Times New Roman"/>
        </w:rPr>
      </w:pPr>
    </w:p>
    <w:p w14:paraId="1F983FE6" w14:textId="77777777" w:rsidR="00FD25BB" w:rsidRPr="0096606C" w:rsidRDefault="00FD25BB" w:rsidP="00AC63AA">
      <w:pPr>
        <w:jc w:val="both"/>
        <w:rPr>
          <w:rFonts w:ascii="Times New Roman" w:hAnsi="Times New Roman"/>
          <w:b/>
          <w:bCs/>
        </w:rPr>
      </w:pPr>
      <w:r w:rsidRPr="0096606C">
        <w:rPr>
          <w:rFonts w:ascii="Times New Roman" w:hAnsi="Times New Roman" w:hint="eastAsia"/>
          <w:b/>
          <w:bCs/>
        </w:rPr>
        <w:t>China</w:t>
      </w:r>
    </w:p>
    <w:p w14:paraId="3CA01C9C" w14:textId="2A12B3B9" w:rsidR="008A31FA" w:rsidRDefault="008A31FA" w:rsidP="008A31FA">
      <w:pPr>
        <w:jc w:val="both"/>
        <w:rPr>
          <w:rFonts w:ascii="Times New Roman" w:hAnsi="Times New Roman"/>
        </w:rPr>
      </w:pPr>
      <w:r w:rsidRPr="008A31FA">
        <w:rPr>
          <w:rFonts w:ascii="Times New Roman" w:hAnsi="Times New Roman"/>
        </w:rPr>
        <w:t>In the NPFC footprint data table, due to the lack of a clear definition and calculation standard for fishing days in the early stages, our understanding of fishing days may differ slightly from that of other Members.</w:t>
      </w:r>
      <w:r>
        <w:rPr>
          <w:rFonts w:ascii="Times New Roman" w:hAnsi="Times New Roman" w:hint="eastAsia"/>
        </w:rPr>
        <w:t xml:space="preserve"> </w:t>
      </w:r>
      <w:r w:rsidRPr="008A31FA">
        <w:rPr>
          <w:rFonts w:ascii="Times New Roman" w:hAnsi="Times New Roman"/>
        </w:rPr>
        <w:t>We primarily count the days starting from the day the fishing vessel arrives at the fishing ground and continuing until the vessel ceases fishing, including days spent sheltering or other days not involving netting or trawling.</w:t>
      </w:r>
    </w:p>
    <w:p w14:paraId="078FE090" w14:textId="2C691C7F" w:rsidR="008A31FA" w:rsidRDefault="008A31FA" w:rsidP="008A31FA">
      <w:pPr>
        <w:jc w:val="both"/>
        <w:rPr>
          <w:rFonts w:ascii="Times New Roman" w:hAnsi="Times New Roman"/>
        </w:rPr>
      </w:pPr>
      <w:r w:rsidRPr="008A31FA">
        <w:rPr>
          <w:rFonts w:ascii="Times New Roman" w:hAnsi="Times New Roman"/>
        </w:rPr>
        <w:t>For a small number of vessels, it is inevitable that the statistics represent the cumulative days from departure to return to port, which adds complexity.</w:t>
      </w:r>
      <w:r>
        <w:rPr>
          <w:rFonts w:ascii="Times New Roman" w:hAnsi="Times New Roman" w:hint="eastAsia"/>
        </w:rPr>
        <w:t xml:space="preserve"> </w:t>
      </w:r>
      <w:r w:rsidRPr="008A31FA">
        <w:rPr>
          <w:rFonts w:ascii="Times New Roman" w:hAnsi="Times New Roman"/>
        </w:rPr>
        <w:t>Therefore, if NPFC has a standardized definition for fishing days, particularly for the footprint data of various fisheries, it would be beneficial for us to better collect fishing-days data.</w:t>
      </w:r>
    </w:p>
    <w:p w14:paraId="0AB6C025" w14:textId="0449BA4B" w:rsidR="008A31FA" w:rsidRDefault="008A31FA" w:rsidP="00AC63AA">
      <w:pPr>
        <w:jc w:val="both"/>
        <w:rPr>
          <w:rFonts w:ascii="Times New Roman" w:hAnsi="Times New Roman"/>
        </w:rPr>
      </w:pPr>
      <w:r w:rsidRPr="008A31FA">
        <w:rPr>
          <w:rFonts w:ascii="Times New Roman" w:hAnsi="Times New Roman"/>
        </w:rPr>
        <w:t>In the vessel-days column of the standardized CPUE table for chub mackerel submitted by the Chinese delegation at the TWG CMSA11 meeting</w:t>
      </w:r>
      <w:r w:rsidR="00567B17">
        <w:rPr>
          <w:rFonts w:ascii="Times New Roman" w:eastAsia="DengXian" w:hAnsi="Times New Roman" w:hint="eastAsia"/>
          <w:lang w:eastAsia="zh-CN"/>
        </w:rPr>
        <w:t xml:space="preserve"> (</w:t>
      </w:r>
      <w:r w:rsidR="00567B17" w:rsidRPr="00567B17">
        <w:rPr>
          <w:rFonts w:ascii="Times New Roman" w:eastAsia="DengXian" w:hAnsi="Times New Roman" w:hint="eastAsia"/>
          <w:lang w:eastAsia="zh-CN"/>
        </w:rPr>
        <w:t>NPFC-2025-TWG CMSA11-WP12</w:t>
      </w:r>
      <w:r w:rsidR="00567B17">
        <w:rPr>
          <w:rFonts w:ascii="Times New Roman" w:eastAsia="DengXian" w:hAnsi="Times New Roman" w:hint="eastAsia"/>
          <w:lang w:eastAsia="zh-CN"/>
        </w:rPr>
        <w:t>)</w:t>
      </w:r>
      <w:r w:rsidRPr="008A31FA">
        <w:rPr>
          <w:rFonts w:ascii="Times New Roman" w:hAnsi="Times New Roman"/>
        </w:rPr>
        <w:t>, “vessel days” refers to the number of days when fishing vessels engaged in fishing activities at sea.</w:t>
      </w:r>
    </w:p>
    <w:p w14:paraId="7E5B92B1" w14:textId="77777777" w:rsidR="00FD25BB" w:rsidRPr="00236FCF" w:rsidRDefault="00FD25BB" w:rsidP="00AC63AA">
      <w:pPr>
        <w:jc w:val="both"/>
        <w:rPr>
          <w:rFonts w:ascii="Times New Roman" w:hAnsi="Times New Roman"/>
          <w:b/>
          <w:bCs/>
        </w:rPr>
      </w:pPr>
      <w:r w:rsidRPr="00236FCF">
        <w:rPr>
          <w:rFonts w:ascii="Times New Roman" w:hAnsi="Times New Roman"/>
          <w:b/>
          <w:bCs/>
        </w:rPr>
        <w:t>[Definition]</w:t>
      </w:r>
    </w:p>
    <w:p w14:paraId="1A1792D4" w14:textId="754DCD9C" w:rsidR="00FD25BB" w:rsidRDefault="008A31FA" w:rsidP="008A31FA">
      <w:pPr>
        <w:jc w:val="both"/>
        <w:rPr>
          <w:rFonts w:ascii="Times New Roman" w:hAnsi="Times New Roman"/>
        </w:rPr>
      </w:pPr>
      <w:r w:rsidRPr="008A31FA">
        <w:rPr>
          <w:rFonts w:ascii="Times New Roman" w:hAnsi="Times New Roman"/>
        </w:rPr>
        <w:t>Fishing days refer to the cumulative number of days on which fishing vessels conducted actual fishing operations.</w:t>
      </w:r>
      <w:r>
        <w:rPr>
          <w:rFonts w:ascii="Times New Roman" w:hAnsi="Times New Roman" w:hint="eastAsia"/>
        </w:rPr>
        <w:t xml:space="preserve"> </w:t>
      </w:r>
      <w:r w:rsidRPr="008A31FA">
        <w:rPr>
          <w:rFonts w:ascii="Times New Roman" w:hAnsi="Times New Roman"/>
        </w:rPr>
        <w:t xml:space="preserve">A </w:t>
      </w:r>
      <w:r w:rsidR="00697F06">
        <w:rPr>
          <w:rFonts w:ascii="Times New Roman" w:hAnsi="Times New Roman"/>
        </w:rPr>
        <w:t>“</w:t>
      </w:r>
      <w:r w:rsidRPr="008A31FA">
        <w:rPr>
          <w:rFonts w:ascii="Times New Roman" w:hAnsi="Times New Roman"/>
        </w:rPr>
        <w:t>fishing day</w:t>
      </w:r>
      <w:r w:rsidR="00697F06">
        <w:rPr>
          <w:rFonts w:ascii="Times New Roman" w:hAnsi="Times New Roman"/>
        </w:rPr>
        <w:t>”</w:t>
      </w:r>
      <w:r w:rsidRPr="008A31FA">
        <w:rPr>
          <w:rFonts w:ascii="Times New Roman" w:hAnsi="Times New Roman"/>
        </w:rPr>
        <w:t xml:space="preserve"> is counted when a vessel engages in fishing activities such as setting, towing, or hauling gear, regardless of how many operations were performed that day.</w:t>
      </w:r>
      <w:r>
        <w:rPr>
          <w:rFonts w:ascii="Times New Roman" w:hAnsi="Times New Roman" w:hint="eastAsia"/>
        </w:rPr>
        <w:t xml:space="preserve"> </w:t>
      </w:r>
      <w:r w:rsidRPr="008A31FA">
        <w:rPr>
          <w:rFonts w:ascii="Times New Roman" w:hAnsi="Times New Roman"/>
        </w:rPr>
        <w:t>The unit of fishing days is expressed as “vessel-days” or “boat-days.” This measure represents vessel-based fishing effort, where one boat operating for one day equals one boat-day.</w:t>
      </w:r>
      <w:r>
        <w:rPr>
          <w:rFonts w:ascii="Times New Roman" w:hAnsi="Times New Roman" w:hint="eastAsia"/>
        </w:rPr>
        <w:t xml:space="preserve"> </w:t>
      </w:r>
      <w:r w:rsidRPr="008A31FA">
        <w:rPr>
          <w:rFonts w:ascii="Times New Roman" w:hAnsi="Times New Roman"/>
        </w:rPr>
        <w:t>If more than one vessel operates on the same day, fishing days are summed by vessel, with each vessel counted as one boat-day.</w:t>
      </w:r>
    </w:p>
    <w:p w14:paraId="156892AE" w14:textId="77777777" w:rsidR="00FD25BB" w:rsidRPr="00236FCF" w:rsidRDefault="00FD25BB" w:rsidP="00AC63AA">
      <w:pPr>
        <w:jc w:val="both"/>
        <w:rPr>
          <w:rFonts w:ascii="Times New Roman" w:hAnsi="Times New Roman"/>
          <w:b/>
          <w:bCs/>
        </w:rPr>
      </w:pPr>
      <w:r w:rsidRPr="00236FCF">
        <w:rPr>
          <w:rFonts w:ascii="Times New Roman" w:hAnsi="Times New Roman"/>
          <w:b/>
          <w:bCs/>
        </w:rPr>
        <w:t>[How to calculate fishing days]</w:t>
      </w:r>
    </w:p>
    <w:p w14:paraId="67CFD182" w14:textId="08A0649A" w:rsidR="00FD25BB" w:rsidRDefault="008A31FA" w:rsidP="008A31FA">
      <w:pPr>
        <w:jc w:val="both"/>
        <w:rPr>
          <w:rFonts w:ascii="Times New Roman" w:hAnsi="Times New Roman"/>
        </w:rPr>
      </w:pPr>
      <w:r w:rsidRPr="008A31FA">
        <w:rPr>
          <w:rFonts w:ascii="Times New Roman" w:hAnsi="Times New Roman"/>
        </w:rPr>
        <w:lastRenderedPageBreak/>
        <w:t>The Chinese statistics for fishing days are based on the daily catch logs of purse seine or trawling vessels.</w:t>
      </w:r>
      <w:r>
        <w:rPr>
          <w:rFonts w:ascii="Times New Roman" w:hAnsi="Times New Roman" w:hint="eastAsia"/>
        </w:rPr>
        <w:t xml:space="preserve"> </w:t>
      </w:r>
      <w:r w:rsidRPr="008A31FA">
        <w:rPr>
          <w:rFonts w:ascii="Times New Roman" w:hAnsi="Times New Roman"/>
        </w:rPr>
        <w:t>When a purse seine vessel engages in fishing activities on a given day, it is counted as one fishing day.</w:t>
      </w:r>
      <w:r>
        <w:rPr>
          <w:rFonts w:ascii="Times New Roman" w:hAnsi="Times New Roman" w:hint="eastAsia"/>
        </w:rPr>
        <w:t xml:space="preserve"> </w:t>
      </w:r>
      <w:r w:rsidRPr="008A31FA">
        <w:rPr>
          <w:rFonts w:ascii="Times New Roman" w:hAnsi="Times New Roman"/>
        </w:rPr>
        <w:t>The cumulative fishing days for all purse seine or trawling vessels are calculated separately for the fleet.</w:t>
      </w:r>
      <w:r>
        <w:rPr>
          <w:rFonts w:ascii="Times New Roman" w:hAnsi="Times New Roman" w:hint="eastAsia"/>
        </w:rPr>
        <w:t xml:space="preserve"> </w:t>
      </w:r>
      <w:r w:rsidRPr="008A31FA">
        <w:rPr>
          <w:rFonts w:ascii="Times New Roman" w:hAnsi="Times New Roman"/>
        </w:rPr>
        <w:t>Purse seine vessels exclusively use purse seine methods, while trawling vessels exclusively employ trawling methods.</w:t>
      </w:r>
      <w:r>
        <w:rPr>
          <w:rFonts w:ascii="Times New Roman" w:hAnsi="Times New Roman" w:hint="eastAsia"/>
        </w:rPr>
        <w:t xml:space="preserve"> </w:t>
      </w:r>
      <w:r w:rsidRPr="008A31FA">
        <w:rPr>
          <w:rFonts w:ascii="Times New Roman" w:hAnsi="Times New Roman"/>
        </w:rPr>
        <w:t>The target fish species for Chinese purse seine fisheries are mackerels and sardines, and in theory, the annual fishing days for mackerels and sardines are the same.</w:t>
      </w:r>
    </w:p>
    <w:p w14:paraId="2AA56030" w14:textId="77777777" w:rsidR="00FD25BB" w:rsidRPr="00236FCF" w:rsidRDefault="00FD25BB" w:rsidP="00AC63AA">
      <w:pPr>
        <w:jc w:val="both"/>
        <w:rPr>
          <w:rFonts w:ascii="Times New Roman" w:hAnsi="Times New Roman"/>
        </w:rPr>
      </w:pPr>
    </w:p>
    <w:p w14:paraId="2567E3DC" w14:textId="77777777" w:rsidR="00FD25BB" w:rsidRPr="0096606C" w:rsidRDefault="00FD25BB" w:rsidP="00AC63AA">
      <w:pPr>
        <w:jc w:val="both"/>
        <w:rPr>
          <w:rFonts w:ascii="Times New Roman" w:hAnsi="Times New Roman"/>
          <w:b/>
          <w:bCs/>
        </w:rPr>
      </w:pPr>
      <w:r w:rsidRPr="0096606C">
        <w:rPr>
          <w:rFonts w:ascii="Times New Roman" w:hAnsi="Times New Roman" w:hint="eastAsia"/>
          <w:b/>
          <w:bCs/>
        </w:rPr>
        <w:t>Japan</w:t>
      </w:r>
    </w:p>
    <w:p w14:paraId="1D9D4145" w14:textId="77777777" w:rsidR="00FD25BB" w:rsidRPr="005E331C" w:rsidRDefault="00FD25BB" w:rsidP="00AC63AA">
      <w:pPr>
        <w:jc w:val="both"/>
        <w:rPr>
          <w:rFonts w:ascii="Times New Roman" w:hAnsi="Times New Roman"/>
          <w:b/>
          <w:bCs/>
        </w:rPr>
      </w:pPr>
      <w:r w:rsidRPr="005E331C">
        <w:rPr>
          <w:rFonts w:ascii="Times New Roman" w:hAnsi="Times New Roman"/>
          <w:b/>
          <w:bCs/>
        </w:rPr>
        <w:t>[Definition]</w:t>
      </w:r>
    </w:p>
    <w:p w14:paraId="729BC0D3" w14:textId="76B39111" w:rsidR="001A6853" w:rsidRDefault="001A6853" w:rsidP="00AC63AA">
      <w:pPr>
        <w:jc w:val="both"/>
        <w:rPr>
          <w:rFonts w:ascii="Times New Roman" w:hAnsi="Times New Roman"/>
        </w:rPr>
      </w:pPr>
      <w:r w:rsidRPr="001A6853">
        <w:rPr>
          <w:rFonts w:ascii="Times New Roman" w:hAnsi="Times New Roman"/>
        </w:rPr>
        <w:t xml:space="preserve">Fishing days refer to the cumulative number of days on which fishing vessels conducted actual fishing operations. A </w:t>
      </w:r>
      <w:r w:rsidR="00697F06">
        <w:rPr>
          <w:rFonts w:ascii="Times New Roman" w:hAnsi="Times New Roman"/>
        </w:rPr>
        <w:t>“</w:t>
      </w:r>
      <w:r w:rsidRPr="001A6853">
        <w:rPr>
          <w:rFonts w:ascii="Times New Roman" w:hAnsi="Times New Roman"/>
        </w:rPr>
        <w:t>fishing day</w:t>
      </w:r>
      <w:r w:rsidR="00697F06">
        <w:rPr>
          <w:rFonts w:ascii="Times New Roman" w:hAnsi="Times New Roman"/>
        </w:rPr>
        <w:t>”</w:t>
      </w:r>
      <w:r w:rsidRPr="001A6853">
        <w:rPr>
          <w:rFonts w:ascii="Times New Roman" w:hAnsi="Times New Roman"/>
        </w:rPr>
        <w:t xml:space="preserve"> is counted when a vessel performs activities such as setting, towing, or hauling. The unit is “boat-days,” where one vessel fishing for one day equals one boat-day.</w:t>
      </w:r>
    </w:p>
    <w:p w14:paraId="3A0647EA" w14:textId="77777777" w:rsidR="00FD25BB" w:rsidRPr="005E331C" w:rsidRDefault="00FD25BB" w:rsidP="00AC63AA">
      <w:pPr>
        <w:jc w:val="both"/>
        <w:rPr>
          <w:rFonts w:ascii="Times New Roman" w:hAnsi="Times New Roman"/>
          <w:b/>
          <w:bCs/>
        </w:rPr>
      </w:pPr>
      <w:r w:rsidRPr="005E331C">
        <w:rPr>
          <w:rFonts w:ascii="Times New Roman" w:hAnsi="Times New Roman"/>
          <w:b/>
          <w:bCs/>
        </w:rPr>
        <w:t>[How to calculate fishing days]</w:t>
      </w:r>
    </w:p>
    <w:p w14:paraId="3583917F" w14:textId="5BAAF292" w:rsidR="000A6592" w:rsidRDefault="000A6592" w:rsidP="000A6592">
      <w:pPr>
        <w:jc w:val="both"/>
        <w:rPr>
          <w:rFonts w:ascii="Times New Roman" w:hAnsi="Times New Roman"/>
        </w:rPr>
      </w:pPr>
      <w:r w:rsidRPr="000A6592">
        <w:rPr>
          <w:rFonts w:ascii="Times New Roman" w:hAnsi="Times New Roman"/>
        </w:rPr>
        <w:t>Japan uses logbook data submitted by each vessel. One logbook record corresponds to one day in which actual fishing operations were conducted.</w:t>
      </w:r>
      <w:r>
        <w:rPr>
          <w:rFonts w:ascii="Times New Roman" w:hAnsi="Times New Roman" w:hint="eastAsia"/>
        </w:rPr>
        <w:t xml:space="preserve"> </w:t>
      </w:r>
      <w:r w:rsidRPr="000A6592">
        <w:rPr>
          <w:rFonts w:ascii="Times New Roman" w:hAnsi="Times New Roman"/>
        </w:rPr>
        <w:t>For purse seine and bottom trawl vessels, the number of sets or tows performed in that day is recorded within a single logbook entry. Therefore, the count of logbook records equals the number of fishing days.</w:t>
      </w:r>
    </w:p>
    <w:p w14:paraId="410F09FF" w14:textId="77777777" w:rsidR="00FD25BB" w:rsidRDefault="00FD25BB" w:rsidP="00AC63AA">
      <w:pPr>
        <w:jc w:val="both"/>
        <w:rPr>
          <w:rFonts w:ascii="Times New Roman" w:hAnsi="Times New Roman"/>
        </w:rPr>
      </w:pPr>
    </w:p>
    <w:p w14:paraId="78FF62E2" w14:textId="77777777" w:rsidR="00FD25BB" w:rsidRPr="005E331C" w:rsidRDefault="00FD25BB" w:rsidP="00AC63AA">
      <w:pPr>
        <w:jc w:val="both"/>
        <w:rPr>
          <w:rFonts w:ascii="Times New Roman" w:hAnsi="Times New Roman"/>
          <w:b/>
          <w:bCs/>
        </w:rPr>
      </w:pPr>
      <w:r w:rsidRPr="005E331C">
        <w:rPr>
          <w:rFonts w:ascii="Times New Roman" w:hAnsi="Times New Roman" w:hint="eastAsia"/>
          <w:b/>
          <w:bCs/>
        </w:rPr>
        <w:t>Russia</w:t>
      </w:r>
    </w:p>
    <w:p w14:paraId="788183D7" w14:textId="77777777" w:rsidR="00FD25BB" w:rsidRPr="005E331C" w:rsidRDefault="00FD25BB" w:rsidP="00AC63AA">
      <w:pPr>
        <w:jc w:val="both"/>
        <w:rPr>
          <w:rFonts w:ascii="Times New Roman" w:hAnsi="Times New Roman"/>
          <w:b/>
          <w:bCs/>
        </w:rPr>
      </w:pPr>
      <w:r w:rsidRPr="005E331C">
        <w:rPr>
          <w:rFonts w:ascii="Times New Roman" w:hAnsi="Times New Roman"/>
          <w:b/>
          <w:bCs/>
        </w:rPr>
        <w:t>[Definition]</w:t>
      </w:r>
    </w:p>
    <w:p w14:paraId="1BABC62B" w14:textId="09057587" w:rsidR="00FD25BB" w:rsidRPr="00BA5E41" w:rsidRDefault="00697F06" w:rsidP="00AC63AA">
      <w:pPr>
        <w:jc w:val="both"/>
        <w:rPr>
          <w:rFonts w:ascii="Times New Roman" w:hAnsi="Times New Roman"/>
        </w:rPr>
      </w:pPr>
      <w:r>
        <w:rPr>
          <w:rFonts w:ascii="Times New Roman" w:hAnsi="Times New Roman" w:hint="eastAsia"/>
        </w:rPr>
        <w:t xml:space="preserve">The </w:t>
      </w:r>
      <w:r w:rsidR="00FD25BB" w:rsidRPr="00BA5E41">
        <w:rPr>
          <w:rFonts w:ascii="Times New Roman" w:hAnsi="Times New Roman"/>
        </w:rPr>
        <w:t xml:space="preserve">Russian definition of </w:t>
      </w:r>
      <w:r>
        <w:rPr>
          <w:rFonts w:ascii="Times New Roman" w:hAnsi="Times New Roman"/>
        </w:rPr>
        <w:t>“</w:t>
      </w:r>
      <w:r w:rsidR="00FD25BB">
        <w:rPr>
          <w:rFonts w:ascii="Times New Roman" w:hAnsi="Times New Roman" w:hint="eastAsia"/>
        </w:rPr>
        <w:t>f</w:t>
      </w:r>
      <w:r w:rsidR="00FD25BB" w:rsidRPr="00BA5E41">
        <w:rPr>
          <w:rFonts w:ascii="Times New Roman" w:hAnsi="Times New Roman"/>
        </w:rPr>
        <w:t>ishing days</w:t>
      </w:r>
      <w:r>
        <w:rPr>
          <w:rFonts w:ascii="Times New Roman" w:hAnsi="Times New Roman"/>
        </w:rPr>
        <w:t>”</w:t>
      </w:r>
      <w:r w:rsidR="00FD25BB" w:rsidRPr="00BA5E41">
        <w:rPr>
          <w:rFonts w:ascii="Times New Roman" w:hAnsi="Times New Roman"/>
        </w:rPr>
        <w:t xml:space="preserve"> is the same as the Japanese one.</w:t>
      </w:r>
    </w:p>
    <w:p w14:paraId="27DE2B3A" w14:textId="77777777" w:rsidR="00FD25BB" w:rsidRPr="005E331C" w:rsidRDefault="00FD25BB" w:rsidP="00AC63AA">
      <w:pPr>
        <w:jc w:val="both"/>
        <w:rPr>
          <w:rFonts w:ascii="Times New Roman" w:hAnsi="Times New Roman"/>
          <w:b/>
          <w:bCs/>
        </w:rPr>
      </w:pPr>
      <w:r w:rsidRPr="005E331C">
        <w:rPr>
          <w:rFonts w:ascii="Times New Roman" w:hAnsi="Times New Roman"/>
          <w:b/>
          <w:bCs/>
        </w:rPr>
        <w:t>[How to calculate fishing days]</w:t>
      </w:r>
    </w:p>
    <w:p w14:paraId="112D0E1D" w14:textId="4C483727" w:rsidR="00FD25BB" w:rsidRDefault="00697F06" w:rsidP="00AC63AA">
      <w:pPr>
        <w:jc w:val="both"/>
        <w:rPr>
          <w:rFonts w:ascii="Times New Roman" w:hAnsi="Times New Roman"/>
        </w:rPr>
      </w:pPr>
      <w:r w:rsidRPr="00697F06">
        <w:rPr>
          <w:rFonts w:ascii="Times New Roman" w:hAnsi="Times New Roman"/>
        </w:rPr>
        <w:t>Russia does not use logbook data submitted by each fishing vessel to calculate fishing days, because:</w:t>
      </w:r>
    </w:p>
    <w:p w14:paraId="0883314D" w14:textId="2D7EA0E7" w:rsidR="00FD25BB" w:rsidRPr="00B521D4" w:rsidRDefault="00697F06" w:rsidP="00AC63AA">
      <w:pPr>
        <w:pStyle w:val="a9"/>
        <w:numPr>
          <w:ilvl w:val="0"/>
          <w:numId w:val="3"/>
        </w:numPr>
        <w:jc w:val="both"/>
        <w:rPr>
          <w:rFonts w:ascii="Times New Roman" w:hAnsi="Times New Roman"/>
        </w:rPr>
      </w:pPr>
      <w:r w:rsidRPr="00697F06">
        <w:rPr>
          <w:rFonts w:ascii="Times New Roman" w:hAnsi="Times New Roman"/>
        </w:rPr>
        <w:t>In the Russian case, each record of the electronic logbook corresponds to each operation (setting, towing, hauling gear, etc.), which we do not fully trust (we suppose that in many cases these “operations” are actually the result of aggregating multiple operations).</w:t>
      </w:r>
    </w:p>
    <w:p w14:paraId="2C070461" w14:textId="5CD13232" w:rsidR="00FD25BB" w:rsidRPr="00B521D4" w:rsidRDefault="00697F06" w:rsidP="00AC63AA">
      <w:pPr>
        <w:pStyle w:val="a9"/>
        <w:numPr>
          <w:ilvl w:val="0"/>
          <w:numId w:val="3"/>
        </w:numPr>
        <w:jc w:val="both"/>
        <w:rPr>
          <w:rFonts w:ascii="Times New Roman" w:hAnsi="Times New Roman"/>
        </w:rPr>
      </w:pPr>
      <w:r w:rsidRPr="00697F06">
        <w:rPr>
          <w:rFonts w:ascii="Times New Roman" w:hAnsi="Times New Roman"/>
        </w:rPr>
        <w:t xml:space="preserve">We received an official announcement from the Russian Federal Agency for Fishery on 19 October 2020 regarding the extension of our access to electronic logbook data. However, the new </w:t>
      </w:r>
      <w:r w:rsidRPr="00697F06">
        <w:rPr>
          <w:rFonts w:ascii="Times New Roman" w:hAnsi="Times New Roman"/>
        </w:rPr>
        <w:lastRenderedPageBreak/>
        <w:t>format became obligatory for all Russian vessels with engine power &gt; 55 kW or gross tonnage &gt; 80 MT only from 1 December 2023 (though many vessels started reporting e-logbook data much earlier).</w:t>
      </w:r>
    </w:p>
    <w:p w14:paraId="55E9D0AD" w14:textId="5A0AFCFA" w:rsidR="00697F06" w:rsidRPr="00697F06" w:rsidRDefault="00697F06" w:rsidP="00697F06">
      <w:pPr>
        <w:jc w:val="both"/>
        <w:rPr>
          <w:rFonts w:ascii="Times New Roman" w:hAnsi="Times New Roman"/>
        </w:rPr>
      </w:pPr>
      <w:r w:rsidRPr="00697F06">
        <w:rPr>
          <w:rFonts w:ascii="Times New Roman" w:hAnsi="Times New Roman"/>
        </w:rPr>
        <w:t>Therefore, instead of using electronic logbook data, we use electronic daily reports (EDR) of each vessel (stored in the table “catch”), which we trust more than e-logbooks.</w:t>
      </w:r>
      <w:r>
        <w:rPr>
          <w:rFonts w:ascii="Times New Roman" w:hAnsi="Times New Roman" w:hint="eastAsia"/>
        </w:rPr>
        <w:t xml:space="preserve"> </w:t>
      </w:r>
      <w:r w:rsidRPr="00697F06">
        <w:rPr>
          <w:rFonts w:ascii="Times New Roman" w:hAnsi="Times New Roman"/>
        </w:rPr>
        <w:t>However, some records of EDR may not be unique per vessel per day, because they may be split by regions and permission numbers.</w:t>
      </w:r>
    </w:p>
    <w:p w14:paraId="40982706" w14:textId="7D77A796" w:rsidR="00FD25BB" w:rsidRDefault="00697F06" w:rsidP="00697F06">
      <w:pPr>
        <w:jc w:val="both"/>
        <w:rPr>
          <w:rFonts w:ascii="Times New Roman" w:hAnsi="Times New Roman"/>
        </w:rPr>
      </w:pPr>
      <w:r w:rsidRPr="00697F06">
        <w:rPr>
          <w:rFonts w:ascii="Times New Roman" w:hAnsi="Times New Roman"/>
        </w:rPr>
        <w:t>Thus, we count distinct results of concatenation between vessel identifiers (</w:t>
      </w:r>
      <w:proofErr w:type="spellStart"/>
      <w:r w:rsidRPr="00697F06">
        <w:rPr>
          <w:rFonts w:ascii="Times New Roman" w:hAnsi="Times New Roman"/>
        </w:rPr>
        <w:t>id_ves</w:t>
      </w:r>
      <w:proofErr w:type="spellEnd"/>
      <w:r w:rsidRPr="00697F06">
        <w:rPr>
          <w:rFonts w:ascii="Times New Roman" w:hAnsi="Times New Roman"/>
        </w:rPr>
        <w:t>) and dates using the SQL function “my_cast2vchar”:</w:t>
      </w:r>
    </w:p>
    <w:p w14:paraId="281DE76D" w14:textId="77777777" w:rsidR="00FD25BB" w:rsidRPr="00B521D4" w:rsidRDefault="00FD25BB" w:rsidP="00697F06">
      <w:pPr>
        <w:pBdr>
          <w:top w:val="single" w:sz="4" w:space="1" w:color="auto"/>
          <w:left w:val="single" w:sz="4" w:space="4" w:color="auto"/>
          <w:bottom w:val="single" w:sz="4" w:space="1" w:color="auto"/>
          <w:right w:val="single" w:sz="4" w:space="4" w:color="auto"/>
        </w:pBdr>
        <w:jc w:val="both"/>
        <w:rPr>
          <w:rFonts w:ascii="Times New Roman" w:hAnsi="Times New Roman"/>
        </w:rPr>
      </w:pPr>
      <w:r w:rsidRPr="00B521D4">
        <w:rPr>
          <w:rFonts w:ascii="Times New Roman" w:hAnsi="Times New Roman"/>
        </w:rPr>
        <w:t xml:space="preserve">select </w:t>
      </w:r>
      <w:proofErr w:type="gramStart"/>
      <w:r w:rsidRPr="00B521D4">
        <w:rPr>
          <w:rFonts w:ascii="Times New Roman" w:hAnsi="Times New Roman"/>
        </w:rPr>
        <w:t>cast(cast(</w:t>
      </w:r>
      <w:proofErr w:type="gramEnd"/>
      <w:r w:rsidRPr="00B521D4">
        <w:rPr>
          <w:rFonts w:ascii="Times New Roman" w:hAnsi="Times New Roman"/>
        </w:rPr>
        <w:t xml:space="preserve">$1 as varchar) || '_' || </w:t>
      </w:r>
      <w:proofErr w:type="gramStart"/>
      <w:r w:rsidRPr="00B521D4">
        <w:rPr>
          <w:rFonts w:ascii="Times New Roman" w:hAnsi="Times New Roman"/>
        </w:rPr>
        <w:t>cast(</w:t>
      </w:r>
      <w:proofErr w:type="gramEnd"/>
      <w:r w:rsidRPr="00B521D4">
        <w:rPr>
          <w:rFonts w:ascii="Times New Roman" w:hAnsi="Times New Roman"/>
        </w:rPr>
        <w:t>$2 as varchar) as varchar</w:t>
      </w:r>
      <w:proofErr w:type="gramStart"/>
      <w:r w:rsidRPr="00B521D4">
        <w:rPr>
          <w:rFonts w:ascii="Times New Roman" w:hAnsi="Times New Roman"/>
        </w:rPr>
        <w:t>);</w:t>
      </w:r>
      <w:proofErr w:type="gramEnd"/>
    </w:p>
    <w:p w14:paraId="1E43F6B3" w14:textId="637B3A07" w:rsidR="00FD25BB" w:rsidRPr="00BA5E41" w:rsidRDefault="00697F06" w:rsidP="00AC63AA">
      <w:pPr>
        <w:jc w:val="both"/>
        <w:rPr>
          <w:rFonts w:ascii="Times New Roman" w:hAnsi="Times New Roman"/>
        </w:rPr>
      </w:pPr>
      <w:r w:rsidRPr="00697F06">
        <w:rPr>
          <w:rFonts w:ascii="Times New Roman" w:hAnsi="Times New Roman"/>
        </w:rPr>
        <w:t xml:space="preserve">Therefore, the final SQL in </w:t>
      </w:r>
      <w:r w:rsidR="001A468E">
        <w:rPr>
          <w:rFonts w:ascii="Times New Roman" w:hAnsi="Times New Roman"/>
        </w:rPr>
        <w:t>TINRO’s</w:t>
      </w:r>
      <w:r w:rsidR="001A468E" w:rsidRPr="00697F06">
        <w:rPr>
          <w:rFonts w:ascii="Times New Roman" w:hAnsi="Times New Roman"/>
        </w:rPr>
        <w:t xml:space="preserve"> </w:t>
      </w:r>
      <w:r w:rsidRPr="00697F06">
        <w:rPr>
          <w:rFonts w:ascii="Times New Roman" w:hAnsi="Times New Roman"/>
        </w:rPr>
        <w:t>PostgreSQL copy of VMS and EDR, for example for the 2024 national report, looks like this:</w:t>
      </w:r>
    </w:p>
    <w:p w14:paraId="305BEA0D"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select </w:t>
      </w:r>
      <w:proofErr w:type="gramStart"/>
      <w:r w:rsidRPr="00BA5E41">
        <w:rPr>
          <w:rFonts w:ascii="Times New Roman" w:hAnsi="Times New Roman"/>
        </w:rPr>
        <w:t>extract(</w:t>
      </w:r>
      <w:proofErr w:type="gramEnd"/>
      <w:r w:rsidRPr="00BA5E41">
        <w:rPr>
          <w:rFonts w:ascii="Times New Roman" w:hAnsi="Times New Roman"/>
        </w:rPr>
        <w:t xml:space="preserve">year from </w:t>
      </w:r>
      <w:proofErr w:type="spellStart"/>
      <w:proofErr w:type="gramStart"/>
      <w:r w:rsidRPr="00BA5E41">
        <w:rPr>
          <w:rFonts w:ascii="Times New Roman" w:hAnsi="Times New Roman"/>
        </w:rPr>
        <w:t>c.date</w:t>
      </w:r>
      <w:proofErr w:type="spellEnd"/>
      <w:r w:rsidRPr="00BA5E41">
        <w:rPr>
          <w:rFonts w:ascii="Times New Roman" w:hAnsi="Times New Roman"/>
        </w:rPr>
        <w:t>)::</w:t>
      </w:r>
      <w:proofErr w:type="spellStart"/>
      <w:proofErr w:type="gramEnd"/>
      <w:r w:rsidRPr="00BA5E41">
        <w:rPr>
          <w:rFonts w:ascii="Times New Roman" w:hAnsi="Times New Roman"/>
        </w:rPr>
        <w:t>smallint</w:t>
      </w:r>
      <w:proofErr w:type="spellEnd"/>
      <w:r w:rsidRPr="00BA5E41">
        <w:rPr>
          <w:rFonts w:ascii="Times New Roman" w:hAnsi="Times New Roman"/>
        </w:rPr>
        <w:t xml:space="preserve"> as "Year",</w:t>
      </w:r>
    </w:p>
    <w:p w14:paraId="512EB0F7"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t>
      </w:r>
      <w:proofErr w:type="gramStart"/>
      <w:r w:rsidRPr="00BA5E41">
        <w:rPr>
          <w:rFonts w:ascii="Times New Roman" w:hAnsi="Times New Roman"/>
        </w:rPr>
        <w:t>case</w:t>
      </w:r>
      <w:proofErr w:type="gramEnd"/>
      <w:r w:rsidRPr="00BA5E41">
        <w:rPr>
          <w:rFonts w:ascii="Times New Roman" w:hAnsi="Times New Roman"/>
        </w:rPr>
        <w:t xml:space="preserve"> when </w:t>
      </w:r>
      <w:proofErr w:type="spellStart"/>
      <w:r w:rsidRPr="00BA5E41">
        <w:rPr>
          <w:rFonts w:ascii="Times New Roman" w:hAnsi="Times New Roman"/>
        </w:rPr>
        <w:t>o.id_oper</w:t>
      </w:r>
      <w:proofErr w:type="spellEnd"/>
      <w:r w:rsidRPr="00BA5E41">
        <w:rPr>
          <w:rFonts w:ascii="Times New Roman" w:hAnsi="Times New Roman"/>
        </w:rPr>
        <w:t xml:space="preserve"> = 14 then 'Purse seine'</w:t>
      </w:r>
    </w:p>
    <w:p w14:paraId="0747CF12"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when </w:t>
      </w:r>
      <w:proofErr w:type="spellStart"/>
      <w:r w:rsidRPr="00BA5E41">
        <w:rPr>
          <w:rFonts w:ascii="Times New Roman" w:hAnsi="Times New Roman"/>
        </w:rPr>
        <w:t>o.id_oper</w:t>
      </w:r>
      <w:proofErr w:type="spellEnd"/>
      <w:r w:rsidRPr="00BA5E41">
        <w:rPr>
          <w:rFonts w:ascii="Times New Roman" w:hAnsi="Times New Roman"/>
        </w:rPr>
        <w:t xml:space="preserve"> = 24 then 'Stick-held dip net'</w:t>
      </w:r>
    </w:p>
    <w:p w14:paraId="68DFA91F"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when left(</w:t>
      </w:r>
      <w:proofErr w:type="gramStart"/>
      <w:r w:rsidRPr="00BA5E41">
        <w:rPr>
          <w:rFonts w:ascii="Times New Roman" w:hAnsi="Times New Roman"/>
        </w:rPr>
        <w:t>o.oper</w:t>
      </w:r>
      <w:proofErr w:type="gramEnd"/>
      <w:r w:rsidRPr="00BA5E41">
        <w:rPr>
          <w:rFonts w:ascii="Times New Roman" w:hAnsi="Times New Roman"/>
        </w:rPr>
        <w:t>,6) = '</w:t>
      </w:r>
      <w:proofErr w:type="spellStart"/>
      <w:r w:rsidRPr="00BA5E41">
        <w:rPr>
          <w:rFonts w:ascii="Times New Roman" w:hAnsi="Times New Roman"/>
        </w:rPr>
        <w:t>трал</w:t>
      </w:r>
      <w:proofErr w:type="spellEnd"/>
      <w:r w:rsidRPr="00BA5E41">
        <w:rPr>
          <w:rFonts w:ascii="Times New Roman" w:hAnsi="Times New Roman"/>
        </w:rPr>
        <w:t xml:space="preserve"> р' then 'Mid-water trawl'</w:t>
      </w:r>
    </w:p>
    <w:p w14:paraId="67680451"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when left(</w:t>
      </w:r>
      <w:proofErr w:type="gramStart"/>
      <w:r w:rsidRPr="00BA5E41">
        <w:rPr>
          <w:rFonts w:ascii="Times New Roman" w:hAnsi="Times New Roman"/>
        </w:rPr>
        <w:t>o.oper</w:t>
      </w:r>
      <w:proofErr w:type="gramEnd"/>
      <w:r w:rsidRPr="00BA5E41">
        <w:rPr>
          <w:rFonts w:ascii="Times New Roman" w:hAnsi="Times New Roman"/>
        </w:rPr>
        <w:t>,6) = '</w:t>
      </w:r>
      <w:proofErr w:type="spellStart"/>
      <w:r w:rsidRPr="00BA5E41">
        <w:rPr>
          <w:rFonts w:ascii="Times New Roman" w:hAnsi="Times New Roman"/>
        </w:rPr>
        <w:t>трал</w:t>
      </w:r>
      <w:proofErr w:type="spellEnd"/>
      <w:r w:rsidRPr="00BA5E41">
        <w:rPr>
          <w:rFonts w:ascii="Times New Roman" w:hAnsi="Times New Roman"/>
        </w:rPr>
        <w:t xml:space="preserve"> п' then 'Mid-water trawl'</w:t>
      </w:r>
    </w:p>
    <w:p w14:paraId="1C7A9382"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when left(</w:t>
      </w:r>
      <w:proofErr w:type="gramStart"/>
      <w:r w:rsidRPr="00BA5E41">
        <w:rPr>
          <w:rFonts w:ascii="Times New Roman" w:hAnsi="Times New Roman"/>
        </w:rPr>
        <w:t>o.oper</w:t>
      </w:r>
      <w:proofErr w:type="gramEnd"/>
      <w:r w:rsidRPr="00BA5E41">
        <w:rPr>
          <w:rFonts w:ascii="Times New Roman" w:hAnsi="Times New Roman"/>
        </w:rPr>
        <w:t>,6) = '</w:t>
      </w:r>
      <w:proofErr w:type="spellStart"/>
      <w:r w:rsidRPr="00BA5E41">
        <w:rPr>
          <w:rFonts w:ascii="Times New Roman" w:hAnsi="Times New Roman"/>
        </w:rPr>
        <w:t>трал</w:t>
      </w:r>
      <w:proofErr w:type="spellEnd"/>
      <w:r w:rsidRPr="00BA5E41">
        <w:rPr>
          <w:rFonts w:ascii="Times New Roman" w:hAnsi="Times New Roman"/>
        </w:rPr>
        <w:t xml:space="preserve"> д' then 'Bottom trawl'</w:t>
      </w:r>
    </w:p>
    <w:p w14:paraId="2579B446"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when left(</w:t>
      </w:r>
      <w:proofErr w:type="gramStart"/>
      <w:r w:rsidRPr="00BA5E41">
        <w:rPr>
          <w:rFonts w:ascii="Times New Roman" w:hAnsi="Times New Roman"/>
        </w:rPr>
        <w:t>o.oper</w:t>
      </w:r>
      <w:proofErr w:type="gramEnd"/>
      <w:r w:rsidRPr="00BA5E41">
        <w:rPr>
          <w:rFonts w:ascii="Times New Roman" w:hAnsi="Times New Roman"/>
        </w:rPr>
        <w:t>,9) = '</w:t>
      </w:r>
      <w:proofErr w:type="spellStart"/>
      <w:r w:rsidRPr="00BA5E41">
        <w:rPr>
          <w:rFonts w:ascii="Times New Roman" w:hAnsi="Times New Roman"/>
        </w:rPr>
        <w:t>снюрревод</w:t>
      </w:r>
      <w:proofErr w:type="spellEnd"/>
      <w:r w:rsidRPr="00BA5E41">
        <w:rPr>
          <w:rFonts w:ascii="Times New Roman" w:hAnsi="Times New Roman"/>
        </w:rPr>
        <w:t>' then 'Danish seine'</w:t>
      </w:r>
    </w:p>
    <w:p w14:paraId="4905B74C"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when left(</w:t>
      </w:r>
      <w:proofErr w:type="gramStart"/>
      <w:r w:rsidRPr="00BA5E41">
        <w:rPr>
          <w:rFonts w:ascii="Times New Roman" w:hAnsi="Times New Roman"/>
        </w:rPr>
        <w:t>o.oper</w:t>
      </w:r>
      <w:proofErr w:type="gramEnd"/>
      <w:r w:rsidRPr="00BA5E41">
        <w:rPr>
          <w:rFonts w:ascii="Times New Roman" w:hAnsi="Times New Roman"/>
        </w:rPr>
        <w:t>,6) = '</w:t>
      </w:r>
      <w:proofErr w:type="spellStart"/>
      <w:r w:rsidRPr="00BA5E41">
        <w:rPr>
          <w:rFonts w:ascii="Times New Roman" w:hAnsi="Times New Roman"/>
        </w:rPr>
        <w:t>ярус</w:t>
      </w:r>
      <w:proofErr w:type="spellEnd"/>
      <w:r w:rsidRPr="00BA5E41">
        <w:rPr>
          <w:rFonts w:ascii="Times New Roman" w:hAnsi="Times New Roman"/>
        </w:rPr>
        <w:t xml:space="preserve"> в' then 'Squid jigging'</w:t>
      </w:r>
    </w:p>
    <w:p w14:paraId="7B55BE97"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else 'Others' end) as "</w:t>
      </w:r>
      <w:proofErr w:type="spellStart"/>
      <w:r w:rsidRPr="00BA5E41">
        <w:rPr>
          <w:rFonts w:ascii="Times New Roman" w:hAnsi="Times New Roman"/>
        </w:rPr>
        <w:t>Fishing_Gear</w:t>
      </w:r>
      <w:proofErr w:type="spellEnd"/>
      <w:r w:rsidRPr="00BA5E41">
        <w:rPr>
          <w:rFonts w:ascii="Times New Roman" w:hAnsi="Times New Roman"/>
        </w:rPr>
        <w:t>",</w:t>
      </w:r>
    </w:p>
    <w:p w14:paraId="237D9AD9"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(case when </w:t>
      </w:r>
      <w:proofErr w:type="spellStart"/>
      <w:r w:rsidRPr="00BA5E41">
        <w:rPr>
          <w:rFonts w:ascii="Times New Roman" w:hAnsi="Times New Roman"/>
        </w:rPr>
        <w:t>id_region</w:t>
      </w:r>
      <w:proofErr w:type="spellEnd"/>
      <w:r w:rsidRPr="00BA5E41">
        <w:rPr>
          <w:rFonts w:ascii="Times New Roman" w:hAnsi="Times New Roman"/>
        </w:rPr>
        <w:t xml:space="preserve"> </w:t>
      </w:r>
      <w:proofErr w:type="gramStart"/>
      <w:r w:rsidRPr="00BA5E41">
        <w:rPr>
          <w:rFonts w:ascii="Times New Roman" w:hAnsi="Times New Roman"/>
        </w:rPr>
        <w:t>IN(</w:t>
      </w:r>
      <w:proofErr w:type="gramEnd"/>
      <w:r w:rsidRPr="00BA5E41">
        <w:rPr>
          <w:rFonts w:ascii="Times New Roman" w:hAnsi="Times New Roman"/>
        </w:rPr>
        <w:t>57,299,300,9006) then 'CA' else 'NW' end) as "</w:t>
      </w:r>
      <w:proofErr w:type="spellStart"/>
      <w:r w:rsidRPr="00BA5E41">
        <w:rPr>
          <w:rFonts w:ascii="Times New Roman" w:hAnsi="Times New Roman"/>
        </w:rPr>
        <w:t>Statistical_Area</w:t>
      </w:r>
      <w:proofErr w:type="spellEnd"/>
      <w:r w:rsidRPr="00BA5E41">
        <w:rPr>
          <w:rFonts w:ascii="Times New Roman" w:hAnsi="Times New Roman"/>
        </w:rPr>
        <w:t>",</w:t>
      </w:r>
    </w:p>
    <w:p w14:paraId="24AA3134"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roofErr w:type="gramStart"/>
      <w:r w:rsidRPr="00BA5E41">
        <w:rPr>
          <w:rFonts w:ascii="Times New Roman" w:hAnsi="Times New Roman"/>
        </w:rPr>
        <w:t>COUNT(</w:t>
      </w:r>
      <w:proofErr w:type="gramEnd"/>
      <w:r w:rsidRPr="00BA5E41">
        <w:rPr>
          <w:rFonts w:ascii="Times New Roman" w:hAnsi="Times New Roman"/>
        </w:rPr>
        <w:t xml:space="preserve">DISTINCT </w:t>
      </w:r>
      <w:proofErr w:type="spellStart"/>
      <w:r w:rsidRPr="00BA5E41">
        <w:rPr>
          <w:rFonts w:ascii="Times New Roman" w:hAnsi="Times New Roman"/>
        </w:rPr>
        <w:t>c.id_ves</w:t>
      </w:r>
      <w:proofErr w:type="spellEnd"/>
      <w:r w:rsidRPr="00BA5E41">
        <w:rPr>
          <w:rFonts w:ascii="Times New Roman" w:hAnsi="Times New Roman"/>
        </w:rPr>
        <w:t xml:space="preserve">) as </w:t>
      </w:r>
      <w:proofErr w:type="spellStart"/>
      <w:r w:rsidRPr="00BA5E41">
        <w:rPr>
          <w:rFonts w:ascii="Times New Roman" w:hAnsi="Times New Roman"/>
        </w:rPr>
        <w:t>nves</w:t>
      </w:r>
      <w:proofErr w:type="spellEnd"/>
      <w:r w:rsidRPr="00BA5E41">
        <w:rPr>
          <w:rFonts w:ascii="Times New Roman" w:hAnsi="Times New Roman"/>
        </w:rPr>
        <w:t>,</w:t>
      </w:r>
    </w:p>
    <w:p w14:paraId="302E5E79"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roofErr w:type="gramStart"/>
      <w:r w:rsidRPr="00BA5E41">
        <w:rPr>
          <w:rFonts w:ascii="Times New Roman" w:hAnsi="Times New Roman"/>
        </w:rPr>
        <w:t>COUNT(</w:t>
      </w:r>
      <w:proofErr w:type="gramEnd"/>
      <w:r w:rsidRPr="00BA5E41">
        <w:rPr>
          <w:rFonts w:ascii="Times New Roman" w:hAnsi="Times New Roman"/>
        </w:rPr>
        <w:t>DISTINCT my_cast2</w:t>
      </w:r>
      <w:proofErr w:type="gramStart"/>
      <w:r w:rsidRPr="00BA5E41">
        <w:rPr>
          <w:rFonts w:ascii="Times New Roman" w:hAnsi="Times New Roman"/>
        </w:rPr>
        <w:t>vchar(</w:t>
      </w:r>
      <w:proofErr w:type="spellStart"/>
      <w:proofErr w:type="gramEnd"/>
      <w:r w:rsidRPr="00BA5E41">
        <w:rPr>
          <w:rFonts w:ascii="Times New Roman" w:hAnsi="Times New Roman"/>
        </w:rPr>
        <w:t>c.id_ves</w:t>
      </w:r>
      <w:proofErr w:type="spellEnd"/>
      <w:r w:rsidRPr="00BA5E41">
        <w:rPr>
          <w:rFonts w:ascii="Times New Roman" w:hAnsi="Times New Roman"/>
        </w:rPr>
        <w:t xml:space="preserve">, </w:t>
      </w:r>
      <w:proofErr w:type="spellStart"/>
      <w:proofErr w:type="gramStart"/>
      <w:r w:rsidRPr="00BA5E41">
        <w:rPr>
          <w:rFonts w:ascii="Times New Roman" w:hAnsi="Times New Roman"/>
        </w:rPr>
        <w:t>c.date</w:t>
      </w:r>
      <w:proofErr w:type="spellEnd"/>
      <w:proofErr w:type="gramEnd"/>
      <w:r w:rsidRPr="00BA5E41">
        <w:rPr>
          <w:rFonts w:ascii="Times New Roman" w:hAnsi="Times New Roman"/>
        </w:rPr>
        <w:t xml:space="preserve">)) as </w:t>
      </w:r>
      <w:proofErr w:type="spellStart"/>
      <w:r w:rsidRPr="00BA5E41">
        <w:rPr>
          <w:rFonts w:ascii="Times New Roman" w:hAnsi="Times New Roman"/>
        </w:rPr>
        <w:t>ndays</w:t>
      </w:r>
      <w:proofErr w:type="spellEnd"/>
      <w:r w:rsidRPr="00BA5E41">
        <w:rPr>
          <w:rFonts w:ascii="Times New Roman" w:hAnsi="Times New Roman"/>
        </w:rPr>
        <w:t>,</w:t>
      </w:r>
    </w:p>
    <w:p w14:paraId="7DEB25D7"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round(sum(</w:t>
      </w:r>
      <w:proofErr w:type="spellStart"/>
      <w:proofErr w:type="gramStart"/>
      <w:r w:rsidRPr="00BA5E41">
        <w:rPr>
          <w:rFonts w:ascii="Times New Roman" w:hAnsi="Times New Roman"/>
        </w:rPr>
        <w:t>c.catch</w:t>
      </w:r>
      <w:proofErr w:type="gramEnd"/>
      <w:r w:rsidRPr="00BA5E41">
        <w:rPr>
          <w:rFonts w:ascii="Times New Roman" w:hAnsi="Times New Roman"/>
        </w:rPr>
        <w:t>_</w:t>
      </w:r>
      <w:proofErr w:type="gramStart"/>
      <w:r w:rsidRPr="00BA5E41">
        <w:rPr>
          <w:rFonts w:ascii="Times New Roman" w:hAnsi="Times New Roman"/>
        </w:rPr>
        <w:t>volume</w:t>
      </w:r>
      <w:proofErr w:type="spellEnd"/>
      <w:r w:rsidRPr="00BA5E41">
        <w:rPr>
          <w:rFonts w:ascii="Times New Roman" w:hAnsi="Times New Roman"/>
        </w:rPr>
        <w:t>::</w:t>
      </w:r>
      <w:proofErr w:type="gramEnd"/>
      <w:r w:rsidRPr="00BA5E41">
        <w:rPr>
          <w:rFonts w:ascii="Times New Roman" w:hAnsi="Times New Roman"/>
        </w:rPr>
        <w:t>numeric),3) as "Tons"</w:t>
      </w:r>
    </w:p>
    <w:p w14:paraId="411799CC"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from </w:t>
      </w:r>
      <w:proofErr w:type="spellStart"/>
      <w:proofErr w:type="gramStart"/>
      <w:r w:rsidRPr="00BA5E41">
        <w:rPr>
          <w:rFonts w:ascii="Times New Roman" w:hAnsi="Times New Roman"/>
        </w:rPr>
        <w:t>ocm.catch</w:t>
      </w:r>
      <w:proofErr w:type="spellEnd"/>
      <w:proofErr w:type="gramEnd"/>
      <w:r w:rsidRPr="00BA5E41">
        <w:rPr>
          <w:rFonts w:ascii="Times New Roman" w:hAnsi="Times New Roman"/>
        </w:rPr>
        <w:t xml:space="preserve"> c</w:t>
      </w:r>
    </w:p>
    <w:p w14:paraId="41740824"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join </w:t>
      </w:r>
      <w:proofErr w:type="spellStart"/>
      <w:r w:rsidRPr="00BA5E41">
        <w:rPr>
          <w:rFonts w:ascii="Times New Roman" w:hAnsi="Times New Roman"/>
        </w:rPr>
        <w:t>ltrees.own_russian</w:t>
      </w:r>
      <w:proofErr w:type="spellEnd"/>
      <w:r w:rsidRPr="00BA5E41">
        <w:rPr>
          <w:rFonts w:ascii="Times New Roman" w:hAnsi="Times New Roman"/>
        </w:rPr>
        <w:t xml:space="preserve"> using (</w:t>
      </w:r>
      <w:proofErr w:type="spellStart"/>
      <w:r w:rsidRPr="00BA5E41">
        <w:rPr>
          <w:rFonts w:ascii="Times New Roman" w:hAnsi="Times New Roman"/>
        </w:rPr>
        <w:t>id_own</w:t>
      </w:r>
      <w:proofErr w:type="spellEnd"/>
      <w:r w:rsidRPr="00BA5E41">
        <w:rPr>
          <w:rFonts w:ascii="Times New Roman" w:hAnsi="Times New Roman"/>
        </w:rPr>
        <w:t>)</w:t>
      </w:r>
    </w:p>
    <w:p w14:paraId="1B692F89"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left join </w:t>
      </w:r>
      <w:proofErr w:type="spellStart"/>
      <w:proofErr w:type="gramStart"/>
      <w:r w:rsidRPr="00BA5E41">
        <w:rPr>
          <w:rFonts w:ascii="Times New Roman" w:hAnsi="Times New Roman"/>
        </w:rPr>
        <w:t>ocm.operation</w:t>
      </w:r>
      <w:proofErr w:type="spellEnd"/>
      <w:proofErr w:type="gramEnd"/>
      <w:r w:rsidRPr="00BA5E41">
        <w:rPr>
          <w:rFonts w:ascii="Times New Roman" w:hAnsi="Times New Roman"/>
        </w:rPr>
        <w:t xml:space="preserve"> </w:t>
      </w:r>
      <w:proofErr w:type="gramStart"/>
      <w:r w:rsidRPr="00BA5E41">
        <w:rPr>
          <w:rFonts w:ascii="Times New Roman" w:hAnsi="Times New Roman"/>
        </w:rPr>
        <w:t>using(</w:t>
      </w:r>
      <w:proofErr w:type="spellStart"/>
      <w:proofErr w:type="gramEnd"/>
      <w:r w:rsidRPr="00BA5E41">
        <w:rPr>
          <w:rFonts w:ascii="Times New Roman" w:hAnsi="Times New Roman"/>
        </w:rPr>
        <w:t>id_ves</w:t>
      </w:r>
      <w:proofErr w:type="spellEnd"/>
      <w:r w:rsidRPr="00BA5E41">
        <w:rPr>
          <w:rFonts w:ascii="Times New Roman" w:hAnsi="Times New Roman"/>
        </w:rPr>
        <w:t>, date)</w:t>
      </w:r>
    </w:p>
    <w:p w14:paraId="2D51682C"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left join </w:t>
      </w:r>
      <w:proofErr w:type="spellStart"/>
      <w:proofErr w:type="gramStart"/>
      <w:r w:rsidRPr="00BA5E41">
        <w:rPr>
          <w:rFonts w:ascii="Times New Roman" w:hAnsi="Times New Roman"/>
        </w:rPr>
        <w:t>ocm.oper</w:t>
      </w:r>
      <w:proofErr w:type="spellEnd"/>
      <w:proofErr w:type="gramEnd"/>
      <w:r w:rsidRPr="00BA5E41">
        <w:rPr>
          <w:rFonts w:ascii="Times New Roman" w:hAnsi="Times New Roman"/>
        </w:rPr>
        <w:t xml:space="preserve"> o using(</w:t>
      </w:r>
      <w:proofErr w:type="spellStart"/>
      <w:r w:rsidRPr="00BA5E41">
        <w:rPr>
          <w:rFonts w:ascii="Times New Roman" w:hAnsi="Times New Roman"/>
        </w:rPr>
        <w:t>id_oper</w:t>
      </w:r>
      <w:proofErr w:type="spellEnd"/>
      <w:r w:rsidRPr="00BA5E41">
        <w:rPr>
          <w:rFonts w:ascii="Times New Roman" w:hAnsi="Times New Roman"/>
        </w:rPr>
        <w:t>)</w:t>
      </w:r>
    </w:p>
    <w:p w14:paraId="27162BD0"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roofErr w:type="gramStart"/>
      <w:r w:rsidRPr="00BA5E41">
        <w:rPr>
          <w:rFonts w:ascii="Times New Roman" w:hAnsi="Times New Roman"/>
        </w:rPr>
        <w:t>where</w:t>
      </w:r>
      <w:proofErr w:type="gramEnd"/>
    </w:p>
    <w:p w14:paraId="189B9D83"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proofErr w:type="spellStart"/>
      <w:r w:rsidRPr="00BA5E41">
        <w:rPr>
          <w:rFonts w:ascii="Times New Roman" w:hAnsi="Times New Roman"/>
        </w:rPr>
        <w:t>c.id_fish</w:t>
      </w:r>
      <w:proofErr w:type="spellEnd"/>
      <w:r w:rsidRPr="00BA5E41">
        <w:rPr>
          <w:rFonts w:ascii="Times New Roman" w:hAnsi="Times New Roman"/>
        </w:rPr>
        <w:t xml:space="preserve"> = 645 </w:t>
      </w:r>
      <w:proofErr w:type="gramStart"/>
      <w:r w:rsidRPr="00BA5E41">
        <w:rPr>
          <w:rFonts w:ascii="Times New Roman" w:hAnsi="Times New Roman"/>
        </w:rPr>
        <w:t xml:space="preserve">--  </w:t>
      </w:r>
      <w:proofErr w:type="spellStart"/>
      <w:r w:rsidRPr="00BA5E41">
        <w:rPr>
          <w:rFonts w:ascii="Times New Roman" w:hAnsi="Times New Roman"/>
        </w:rPr>
        <w:t>Chub</w:t>
      </w:r>
      <w:proofErr w:type="gramEnd"/>
      <w:r w:rsidRPr="00BA5E41">
        <w:rPr>
          <w:rFonts w:ascii="Times New Roman" w:hAnsi="Times New Roman"/>
        </w:rPr>
        <w:t>&amp;Blue</w:t>
      </w:r>
      <w:proofErr w:type="spellEnd"/>
      <w:r w:rsidRPr="00BA5E41">
        <w:rPr>
          <w:rFonts w:ascii="Times New Roman" w:hAnsi="Times New Roman"/>
        </w:rPr>
        <w:t xml:space="preserve"> Mackerels</w:t>
      </w:r>
    </w:p>
    <w:p w14:paraId="24F660FD"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lastRenderedPageBreak/>
        <w:t xml:space="preserve">and </w:t>
      </w:r>
      <w:proofErr w:type="spellStart"/>
      <w:proofErr w:type="gramStart"/>
      <w:r w:rsidRPr="00BA5E41">
        <w:rPr>
          <w:rFonts w:ascii="Times New Roman" w:hAnsi="Times New Roman"/>
        </w:rPr>
        <w:t>c.date</w:t>
      </w:r>
      <w:proofErr w:type="spellEnd"/>
      <w:proofErr w:type="gramEnd"/>
      <w:r w:rsidRPr="00BA5E41">
        <w:rPr>
          <w:rFonts w:ascii="Times New Roman" w:hAnsi="Times New Roman"/>
        </w:rPr>
        <w:t xml:space="preserve"> between '2024-01-01' and '2024-12-31'</w:t>
      </w:r>
    </w:p>
    <w:p w14:paraId="1AF39ECE"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and </w:t>
      </w:r>
      <w:proofErr w:type="spellStart"/>
      <w:r w:rsidRPr="00BA5E41">
        <w:rPr>
          <w:rFonts w:ascii="Times New Roman" w:hAnsi="Times New Roman"/>
        </w:rPr>
        <w:t>c.id_region</w:t>
      </w:r>
      <w:proofErr w:type="spellEnd"/>
      <w:r w:rsidRPr="00BA5E41">
        <w:rPr>
          <w:rFonts w:ascii="Times New Roman" w:hAnsi="Times New Roman"/>
        </w:rPr>
        <w:t xml:space="preserve"> IN (266,267,269,270,271,285,57,299,300,9006)</w:t>
      </w:r>
    </w:p>
    <w:p w14:paraId="0F2016F6"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 xml:space="preserve">and </w:t>
      </w:r>
      <w:proofErr w:type="spellStart"/>
      <w:proofErr w:type="gramStart"/>
      <w:r w:rsidRPr="00BA5E41">
        <w:rPr>
          <w:rFonts w:ascii="Times New Roman" w:hAnsi="Times New Roman"/>
        </w:rPr>
        <w:t>c.catch</w:t>
      </w:r>
      <w:proofErr w:type="gramEnd"/>
      <w:r w:rsidRPr="00BA5E41">
        <w:rPr>
          <w:rFonts w:ascii="Times New Roman" w:hAnsi="Times New Roman"/>
        </w:rPr>
        <w:t>_volume</w:t>
      </w:r>
      <w:proofErr w:type="spellEnd"/>
      <w:r w:rsidRPr="00BA5E41">
        <w:rPr>
          <w:rFonts w:ascii="Times New Roman" w:hAnsi="Times New Roman"/>
        </w:rPr>
        <w:t xml:space="preserve"> &gt; 0</w:t>
      </w:r>
    </w:p>
    <w:p w14:paraId="5D1D91D7" w14:textId="77777777" w:rsidR="00FD25BB" w:rsidRPr="00BA5E41" w:rsidRDefault="00FD25BB" w:rsidP="00AC63AA">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sidRPr="00BA5E41">
        <w:rPr>
          <w:rFonts w:ascii="Times New Roman" w:hAnsi="Times New Roman"/>
        </w:rPr>
        <w:t>group by "Year", "</w:t>
      </w:r>
      <w:proofErr w:type="spellStart"/>
      <w:r w:rsidRPr="00BA5E41">
        <w:rPr>
          <w:rFonts w:ascii="Times New Roman" w:hAnsi="Times New Roman"/>
        </w:rPr>
        <w:t>Fishing_Gear</w:t>
      </w:r>
      <w:proofErr w:type="spellEnd"/>
      <w:r w:rsidRPr="00BA5E41">
        <w:rPr>
          <w:rFonts w:ascii="Times New Roman" w:hAnsi="Times New Roman"/>
        </w:rPr>
        <w:t>", "</w:t>
      </w:r>
      <w:proofErr w:type="spellStart"/>
      <w:r w:rsidRPr="00BA5E41">
        <w:rPr>
          <w:rFonts w:ascii="Times New Roman" w:hAnsi="Times New Roman"/>
        </w:rPr>
        <w:t>Statistical_Area</w:t>
      </w:r>
      <w:proofErr w:type="spellEnd"/>
      <w:r w:rsidRPr="00BA5E41">
        <w:rPr>
          <w:rFonts w:ascii="Times New Roman" w:hAnsi="Times New Roman"/>
        </w:rPr>
        <w:t>"</w:t>
      </w:r>
    </w:p>
    <w:p w14:paraId="5270C0F7" w14:textId="77777777" w:rsidR="00FD25BB" w:rsidRPr="00BA5E41" w:rsidRDefault="00FD25BB" w:rsidP="00AC63AA">
      <w:pPr>
        <w:pBdr>
          <w:top w:val="single" w:sz="4" w:space="1" w:color="auto"/>
          <w:left w:val="single" w:sz="4" w:space="4" w:color="auto"/>
          <w:bottom w:val="single" w:sz="4" w:space="1" w:color="auto"/>
          <w:right w:val="single" w:sz="4" w:space="4" w:color="auto"/>
        </w:pBdr>
        <w:jc w:val="both"/>
        <w:rPr>
          <w:rFonts w:ascii="Times New Roman" w:hAnsi="Times New Roman"/>
        </w:rPr>
      </w:pPr>
      <w:r w:rsidRPr="00BA5E41">
        <w:rPr>
          <w:rFonts w:ascii="Times New Roman" w:hAnsi="Times New Roman"/>
        </w:rPr>
        <w:t>order by "Year" DESC, "</w:t>
      </w:r>
      <w:proofErr w:type="spellStart"/>
      <w:r w:rsidRPr="00BA5E41">
        <w:rPr>
          <w:rFonts w:ascii="Times New Roman" w:hAnsi="Times New Roman"/>
        </w:rPr>
        <w:t>Fishing_Gear</w:t>
      </w:r>
      <w:proofErr w:type="spellEnd"/>
      <w:r w:rsidRPr="00BA5E41">
        <w:rPr>
          <w:rFonts w:ascii="Times New Roman" w:hAnsi="Times New Roman"/>
        </w:rPr>
        <w:t>" DESC, "</w:t>
      </w:r>
      <w:proofErr w:type="spellStart"/>
      <w:r w:rsidRPr="00BA5E41">
        <w:rPr>
          <w:rFonts w:ascii="Times New Roman" w:hAnsi="Times New Roman"/>
        </w:rPr>
        <w:t>Statistical_Area</w:t>
      </w:r>
      <w:proofErr w:type="spellEnd"/>
      <w:r w:rsidRPr="00BA5E41">
        <w:rPr>
          <w:rFonts w:ascii="Times New Roman" w:hAnsi="Times New Roman"/>
        </w:rPr>
        <w:t>" DESC;</w:t>
      </w:r>
    </w:p>
    <w:p w14:paraId="4AA7B818" w14:textId="77777777" w:rsidR="00FD25BB" w:rsidRPr="00BA5E41" w:rsidRDefault="00FD25BB" w:rsidP="00AC63AA">
      <w:pPr>
        <w:jc w:val="both"/>
        <w:rPr>
          <w:rFonts w:ascii="Times New Roman" w:hAnsi="Times New Roman"/>
        </w:rPr>
      </w:pPr>
      <w:r w:rsidRPr="00BA5E41">
        <w:rPr>
          <w:rFonts w:ascii="Times New Roman" w:hAnsi="Times New Roman"/>
        </w:rPr>
        <w:t xml:space="preserve">and the answer in </w:t>
      </w:r>
      <w:proofErr w:type="spellStart"/>
      <w:r w:rsidRPr="00BA5E41">
        <w:rPr>
          <w:rFonts w:ascii="Times New Roman" w:hAnsi="Times New Roman"/>
        </w:rPr>
        <w:t>psql</w:t>
      </w:r>
      <w:proofErr w:type="spellEnd"/>
      <w:r w:rsidRPr="00BA5E41">
        <w:rPr>
          <w:rFonts w:ascii="Times New Roman" w:hAnsi="Times New Roman"/>
        </w:rPr>
        <w:t xml:space="preserve"> is:</w:t>
      </w:r>
    </w:p>
    <w:p w14:paraId="1F4E4DEF" w14:textId="77777777" w:rsidR="00FD25BB" w:rsidRPr="00BA5E41" w:rsidRDefault="00FD25BB" w:rsidP="00AC63AA">
      <w:pPr>
        <w:jc w:val="both"/>
        <w:rPr>
          <w:rFonts w:ascii="Times New Roman" w:hAnsi="Times New Roman"/>
        </w:rPr>
      </w:pPr>
      <w:r>
        <w:rPr>
          <w:rFonts w:ascii="Times New Roman" w:hAnsi="Times New Roman"/>
          <w:noProof/>
        </w:rPr>
        <w:drawing>
          <wp:inline distT="0" distB="0" distL="0" distR="0" wp14:anchorId="056A473C" wp14:editId="5891356E">
            <wp:extent cx="4572000" cy="1246356"/>
            <wp:effectExtent l="0" t="0" r="0" b="0"/>
            <wp:docPr id="1948641491"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41491" name="図 1" descr="グラフィカル ユーザー インターフェイス&#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2161" cy="1254578"/>
                    </a:xfrm>
                    <a:prstGeom prst="rect">
                      <a:avLst/>
                    </a:prstGeom>
                    <a:noFill/>
                    <a:ln>
                      <a:noFill/>
                    </a:ln>
                  </pic:spPr>
                </pic:pic>
              </a:graphicData>
            </a:graphic>
          </wp:inline>
        </w:drawing>
      </w:r>
    </w:p>
    <w:p w14:paraId="1A107BCE" w14:textId="1DB9DCC7" w:rsidR="00FD25BB" w:rsidRDefault="00697F06" w:rsidP="00AC63AA">
      <w:pPr>
        <w:jc w:val="both"/>
        <w:rPr>
          <w:rFonts w:ascii="Times New Roman" w:hAnsi="Times New Roman"/>
        </w:rPr>
      </w:pPr>
      <w:r w:rsidRPr="00697F06">
        <w:rPr>
          <w:rFonts w:ascii="Times New Roman" w:hAnsi="Times New Roman"/>
        </w:rPr>
        <w:t>Exactly this output was used for the preparation of the Russian national report.</w:t>
      </w:r>
    </w:p>
    <w:p w14:paraId="24755988" w14:textId="77777777" w:rsidR="00FD25BB" w:rsidRDefault="00FD25BB" w:rsidP="00AC63AA">
      <w:pPr>
        <w:widowControl/>
        <w:jc w:val="both"/>
        <w:rPr>
          <w:rFonts w:ascii="Times New Roman" w:hAnsi="Times New Roman"/>
        </w:rPr>
      </w:pPr>
    </w:p>
    <w:p w14:paraId="44F876EB" w14:textId="77777777" w:rsidR="00FD25BB" w:rsidRPr="00900C8E" w:rsidRDefault="00FD25BB" w:rsidP="00AC63AA">
      <w:pPr>
        <w:jc w:val="both"/>
        <w:rPr>
          <w:rFonts w:ascii="Times New Roman" w:hAnsi="Times New Roman"/>
          <w:b/>
          <w:bCs/>
        </w:rPr>
      </w:pPr>
      <w:r w:rsidRPr="00900C8E">
        <w:rPr>
          <w:rFonts w:ascii="Times New Roman" w:hAnsi="Times New Roman" w:hint="eastAsia"/>
          <w:b/>
          <w:bCs/>
        </w:rPr>
        <w:t>References cited</w:t>
      </w:r>
    </w:p>
    <w:p w14:paraId="0AF6FE46" w14:textId="77777777" w:rsidR="00FD25BB" w:rsidRDefault="00FD25BB" w:rsidP="00AC63AA">
      <w:pPr>
        <w:spacing w:after="0"/>
        <w:ind w:left="708" w:hangingChars="337" w:hanging="708"/>
        <w:jc w:val="both"/>
        <w:rPr>
          <w:rFonts w:ascii="Times New Roman" w:hAnsi="Times New Roman"/>
        </w:rPr>
      </w:pPr>
      <w:r>
        <w:rPr>
          <w:rFonts w:ascii="Times New Roman" w:hAnsi="Times New Roman" w:hint="eastAsia"/>
        </w:rPr>
        <w:t xml:space="preserve">European Union. (2025) </w:t>
      </w:r>
      <w:r w:rsidRPr="00900C8E">
        <w:rPr>
          <w:rFonts w:ascii="Times New Roman" w:hAnsi="Times New Roman"/>
        </w:rPr>
        <w:t>Chub mackerel CMM: proposed tasking for TWGCMSA and SC</w:t>
      </w:r>
      <w:r>
        <w:rPr>
          <w:rFonts w:ascii="Times New Roman" w:hAnsi="Times New Roman" w:hint="eastAsia"/>
        </w:rPr>
        <w:t xml:space="preserve">. </w:t>
      </w:r>
      <w:r w:rsidRPr="00900C8E">
        <w:rPr>
          <w:rFonts w:ascii="Times New Roman" w:hAnsi="Times New Roman"/>
        </w:rPr>
        <w:t>NPFC-2025-COM09-WP17</w:t>
      </w:r>
      <w:r>
        <w:rPr>
          <w:rFonts w:ascii="Times New Roman" w:hAnsi="Times New Roman" w:hint="eastAsia"/>
        </w:rPr>
        <w:t>.</w:t>
      </w:r>
    </w:p>
    <w:p w14:paraId="67D54506" w14:textId="4816CF67" w:rsidR="00567B17" w:rsidRPr="00567B17" w:rsidRDefault="00FD25BB" w:rsidP="00567B17">
      <w:pPr>
        <w:spacing w:after="0"/>
        <w:ind w:left="708" w:hangingChars="337" w:hanging="708"/>
        <w:jc w:val="both"/>
        <w:rPr>
          <w:rFonts w:ascii="Times New Roman" w:eastAsia="DengXian" w:hAnsi="Times New Roman"/>
          <w:lang w:eastAsia="zh-CN"/>
        </w:rPr>
      </w:pPr>
      <w:r>
        <w:rPr>
          <w:rFonts w:ascii="Times New Roman" w:hAnsi="Times New Roman" w:hint="eastAsia"/>
        </w:rPr>
        <w:t xml:space="preserve">Technical Woking Group on Chub Mackerel Stock Assessment (2025) </w:t>
      </w:r>
      <w:r w:rsidRPr="00900C8E">
        <w:rPr>
          <w:rFonts w:ascii="Times New Roman" w:hAnsi="Times New Roman"/>
        </w:rPr>
        <w:t>Stock assessment report for chub mackerel</w:t>
      </w:r>
      <w:r>
        <w:rPr>
          <w:rFonts w:ascii="Times New Roman" w:hAnsi="Times New Roman" w:hint="eastAsia"/>
        </w:rPr>
        <w:t xml:space="preserve">. </w:t>
      </w:r>
      <w:r w:rsidRPr="00900C8E">
        <w:rPr>
          <w:rFonts w:ascii="Times New Roman" w:hAnsi="Times New Roman"/>
        </w:rPr>
        <w:t>NPFC-2025-SC10-WP10</w:t>
      </w:r>
      <w:r>
        <w:rPr>
          <w:rFonts w:ascii="Times New Roman" w:hAnsi="Times New Roman" w:hint="eastAsia"/>
        </w:rPr>
        <w:t>.</w:t>
      </w:r>
    </w:p>
    <w:p w14:paraId="26F136A8" w14:textId="1EB6E139" w:rsidR="009E4204" w:rsidRDefault="00567B17" w:rsidP="006F75FB">
      <w:pPr>
        <w:spacing w:after="0"/>
        <w:ind w:left="708" w:hangingChars="337" w:hanging="708"/>
        <w:jc w:val="both"/>
        <w:rPr>
          <w:rFonts w:ascii="Times New Roman" w:hAnsi="Times New Roman" w:hint="eastAsia"/>
        </w:rPr>
      </w:pPr>
      <w:proofErr w:type="spellStart"/>
      <w:r w:rsidRPr="00567B17">
        <w:rPr>
          <w:rFonts w:ascii="Times New Roman" w:eastAsia="DengXian" w:hAnsi="Times New Roman" w:hint="eastAsia"/>
          <w:lang w:eastAsia="zh-CN"/>
        </w:rPr>
        <w:t>Yongchuang</w:t>
      </w:r>
      <w:proofErr w:type="spellEnd"/>
      <w:r w:rsidRPr="00567B17">
        <w:rPr>
          <w:rFonts w:ascii="Times New Roman" w:eastAsia="DengXian" w:hAnsi="Times New Roman" w:hint="eastAsia"/>
          <w:lang w:eastAsia="zh-CN"/>
        </w:rPr>
        <w:t xml:space="preserve"> Shi, Heng Zhang, Haibin Han</w:t>
      </w:r>
      <w:r>
        <w:rPr>
          <w:rFonts w:ascii="Times New Roman" w:eastAsia="DengXian" w:hAnsi="Times New Roman" w:hint="eastAsia"/>
          <w:lang w:eastAsia="zh-CN"/>
        </w:rPr>
        <w:t xml:space="preserve">. </w:t>
      </w:r>
      <w:r w:rsidRPr="00567B17">
        <w:rPr>
          <w:rFonts w:ascii="Times New Roman" w:eastAsia="DengXian" w:hAnsi="Times New Roman" w:hint="eastAsia"/>
          <w:lang w:eastAsia="zh-CN"/>
        </w:rPr>
        <w:t>Standardized CPUE of Chub mackerel (</w:t>
      </w:r>
      <w:proofErr w:type="spellStart"/>
      <w:r w:rsidRPr="003E7856">
        <w:rPr>
          <w:rFonts w:ascii="Times New Roman" w:eastAsia="DengXian" w:hAnsi="Times New Roman"/>
          <w:i/>
          <w:iCs/>
          <w:lang w:eastAsia="zh-CN"/>
        </w:rPr>
        <w:t>Scomber</w:t>
      </w:r>
      <w:proofErr w:type="spellEnd"/>
      <w:r w:rsidRPr="003E7856">
        <w:rPr>
          <w:rFonts w:ascii="Times New Roman" w:eastAsia="DengXian" w:hAnsi="Times New Roman"/>
          <w:i/>
          <w:iCs/>
          <w:lang w:eastAsia="zh-CN"/>
        </w:rPr>
        <w:t xml:space="preserve"> japonicas</w:t>
      </w:r>
      <w:r w:rsidRPr="00567B17">
        <w:rPr>
          <w:rFonts w:ascii="Times New Roman" w:eastAsia="DengXian" w:hAnsi="Times New Roman" w:hint="eastAsia"/>
          <w:lang w:eastAsia="zh-CN"/>
        </w:rPr>
        <w:t>) caught by the China</w:t>
      </w:r>
      <w:r w:rsidRPr="00567B17">
        <w:rPr>
          <w:rFonts w:ascii="Times New Roman" w:eastAsia="DengXian" w:hAnsi="Times New Roman" w:hint="eastAsia"/>
          <w:lang w:eastAsia="zh-CN"/>
        </w:rPr>
        <w:t>’</w:t>
      </w:r>
      <w:r w:rsidRPr="00567B17">
        <w:rPr>
          <w:rFonts w:ascii="Times New Roman" w:eastAsia="DengXian" w:hAnsi="Times New Roman" w:hint="eastAsia"/>
          <w:lang w:eastAsia="zh-CN"/>
        </w:rPr>
        <w:t>s lighting purse seine fishery up to 2024</w:t>
      </w:r>
      <w:r>
        <w:rPr>
          <w:rFonts w:ascii="Times New Roman" w:eastAsia="DengXian" w:hAnsi="Times New Roman" w:hint="eastAsia"/>
          <w:lang w:eastAsia="zh-CN"/>
        </w:rPr>
        <w:t>.</w:t>
      </w:r>
      <w:r w:rsidRPr="00567B17">
        <w:rPr>
          <w:rFonts w:ascii="Times New Roman" w:eastAsia="DengXian" w:hAnsi="Times New Roman" w:hint="eastAsia"/>
          <w:lang w:eastAsia="zh-CN"/>
        </w:rPr>
        <w:t xml:space="preserve"> NPFC-2025-TWG CMSA11-WP12</w:t>
      </w:r>
    </w:p>
    <w:sectPr w:rsidR="009E4204" w:rsidSect="00AB16B8">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E020" w14:textId="77777777" w:rsidR="004C25C3" w:rsidRDefault="004C25C3" w:rsidP="00385027">
      <w:pPr>
        <w:spacing w:after="0" w:line="240" w:lineRule="auto"/>
      </w:pPr>
      <w:r>
        <w:separator/>
      </w:r>
    </w:p>
  </w:endnote>
  <w:endnote w:type="continuationSeparator" w:id="0">
    <w:p w14:paraId="0B82326B" w14:textId="77777777" w:rsidR="004C25C3" w:rsidRDefault="004C25C3" w:rsidP="0038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31B0" w14:textId="77777777" w:rsidR="004C25C3" w:rsidRDefault="004C25C3" w:rsidP="00385027">
      <w:pPr>
        <w:spacing w:after="0" w:line="240" w:lineRule="auto"/>
      </w:pPr>
      <w:r>
        <w:separator/>
      </w:r>
    </w:p>
  </w:footnote>
  <w:footnote w:type="continuationSeparator" w:id="0">
    <w:p w14:paraId="725AB827" w14:textId="77777777" w:rsidR="004C25C3" w:rsidRDefault="004C25C3" w:rsidP="0038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0795" w14:textId="52FD9511" w:rsidR="00AB16B8" w:rsidRDefault="00AB16B8">
    <w:pPr>
      <w:pStyle w:val="aa"/>
    </w:pPr>
    <w:r>
      <w:rPr>
        <w:noProof/>
        <w:sz w:val="14"/>
        <w:szCs w:val="14"/>
      </w:rPr>
      <mc:AlternateContent>
        <mc:Choice Requires="wps">
          <w:drawing>
            <wp:anchor distT="0" distB="0" distL="114300" distR="114300" simplePos="0" relativeHeight="251660288" behindDoc="1" locked="0" layoutInCell="1" allowOverlap="0" wp14:anchorId="227B96F8" wp14:editId="60FDB4BD">
              <wp:simplePos x="0" y="0"/>
              <wp:positionH relativeFrom="margin">
                <wp:posOffset>1015365</wp:posOffset>
              </wp:positionH>
              <wp:positionV relativeFrom="paragraph">
                <wp:posOffset>419100</wp:posOffset>
              </wp:positionV>
              <wp:extent cx="3381375" cy="238125"/>
              <wp:effectExtent l="0" t="0" r="0" b="0"/>
              <wp:wrapNone/>
              <wp:docPr id="1916119702"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1C54745" w14:textId="77777777" w:rsidR="00AB16B8" w:rsidRPr="00D42168" w:rsidRDefault="00AB16B8" w:rsidP="00AB16B8">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B96F8" id="_x0000_t202" coordsize="21600,21600" o:spt="202" path="m,l,21600r21600,l21600,xe">
              <v:stroke joinstyle="miter"/>
              <v:path gradientshapeok="t" o:connecttype="rect"/>
            </v:shapetype>
            <v:shape id="テキスト ボックス 15" o:spid="_x0000_s1026" type="#_x0000_t202" style="position:absolute;margin-left:79.95pt;margin-top:33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" o:allowoverlap="f" filled="f" stroked="f" strokeweight=".5pt">
              <v:textbox>
                <w:txbxContent>
                  <w:p w14:paraId="41C54745" w14:textId="77777777" w:rsidR="00AB16B8" w:rsidRPr="00D42168" w:rsidRDefault="00AB16B8" w:rsidP="00AB16B8">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9264" behindDoc="1" locked="0" layoutInCell="1" allowOverlap="1" wp14:anchorId="27CF10A7" wp14:editId="0527C002">
          <wp:simplePos x="0" y="0"/>
          <wp:positionH relativeFrom="margin">
            <wp:posOffset>2184400</wp:posOffset>
          </wp:positionH>
          <wp:positionV relativeFrom="paragraph">
            <wp:posOffset>-371948</wp:posOffset>
          </wp:positionV>
          <wp:extent cx="1047750" cy="770255"/>
          <wp:effectExtent l="0" t="0" r="0" b="0"/>
          <wp:wrapTight wrapText="bothSides">
            <wp:wrapPolygon edited="0">
              <wp:start x="1964" y="0"/>
              <wp:lineTo x="1964" y="5342"/>
              <wp:lineTo x="4320" y="8547"/>
              <wp:lineTo x="0" y="9082"/>
              <wp:lineTo x="0" y="12287"/>
              <wp:lineTo x="3142" y="17095"/>
              <wp:lineTo x="3142" y="17629"/>
              <wp:lineTo x="5891" y="20834"/>
              <wp:lineTo x="6284" y="20834"/>
              <wp:lineTo x="14531" y="20834"/>
              <wp:lineTo x="14924" y="20834"/>
              <wp:lineTo x="18065" y="17095"/>
              <wp:lineTo x="21207" y="14424"/>
              <wp:lineTo x="21207" y="9616"/>
              <wp:lineTo x="20029" y="0"/>
              <wp:lineTo x="1964" y="0"/>
            </wp:wrapPolygon>
          </wp:wrapTight>
          <wp:docPr id="73128920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B3180"/>
    <w:multiLevelType w:val="hybridMultilevel"/>
    <w:tmpl w:val="5DECC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DA3506"/>
    <w:multiLevelType w:val="hybridMultilevel"/>
    <w:tmpl w:val="B6BAAE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95769A"/>
    <w:multiLevelType w:val="hybridMultilevel"/>
    <w:tmpl w:val="68A6022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69A075A9"/>
    <w:multiLevelType w:val="hybridMultilevel"/>
    <w:tmpl w:val="B8D2DE88"/>
    <w:lvl w:ilvl="0" w:tplc="D28001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2F05D1"/>
    <w:multiLevelType w:val="hybridMultilevel"/>
    <w:tmpl w:val="D1065F3C"/>
    <w:lvl w:ilvl="0" w:tplc="9750583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5560554">
    <w:abstractNumId w:val="2"/>
  </w:num>
  <w:num w:numId="2" w16cid:durableId="450126569">
    <w:abstractNumId w:val="1"/>
  </w:num>
  <w:num w:numId="3" w16cid:durableId="1922831112">
    <w:abstractNumId w:val="0"/>
  </w:num>
  <w:num w:numId="4" w16cid:durableId="816143010">
    <w:abstractNumId w:val="4"/>
  </w:num>
  <w:num w:numId="5" w16cid:durableId="148061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27"/>
    <w:rsid w:val="00066106"/>
    <w:rsid w:val="0008294B"/>
    <w:rsid w:val="000A6592"/>
    <w:rsid w:val="000C45ED"/>
    <w:rsid w:val="00143690"/>
    <w:rsid w:val="001773CC"/>
    <w:rsid w:val="001A468E"/>
    <w:rsid w:val="001A6853"/>
    <w:rsid w:val="001B3DB2"/>
    <w:rsid w:val="001C3961"/>
    <w:rsid w:val="001E3EBB"/>
    <w:rsid w:val="00234509"/>
    <w:rsid w:val="00236FCF"/>
    <w:rsid w:val="00271D62"/>
    <w:rsid w:val="002A6786"/>
    <w:rsid w:val="002E6B71"/>
    <w:rsid w:val="003012AD"/>
    <w:rsid w:val="00385027"/>
    <w:rsid w:val="003943BF"/>
    <w:rsid w:val="003A6CCD"/>
    <w:rsid w:val="003C4DE5"/>
    <w:rsid w:val="003E7856"/>
    <w:rsid w:val="004161BB"/>
    <w:rsid w:val="00444182"/>
    <w:rsid w:val="00451724"/>
    <w:rsid w:val="004825AA"/>
    <w:rsid w:val="004B40DF"/>
    <w:rsid w:val="004C25C3"/>
    <w:rsid w:val="004C3365"/>
    <w:rsid w:val="004E69D3"/>
    <w:rsid w:val="00550167"/>
    <w:rsid w:val="00557C1F"/>
    <w:rsid w:val="0056635B"/>
    <w:rsid w:val="00567B17"/>
    <w:rsid w:val="005B64C2"/>
    <w:rsid w:val="005E0D13"/>
    <w:rsid w:val="005E331C"/>
    <w:rsid w:val="005F4BCE"/>
    <w:rsid w:val="00641A00"/>
    <w:rsid w:val="00682014"/>
    <w:rsid w:val="00697F06"/>
    <w:rsid w:val="006A0A24"/>
    <w:rsid w:val="006B6349"/>
    <w:rsid w:val="006C04C2"/>
    <w:rsid w:val="006E4979"/>
    <w:rsid w:val="006F32D2"/>
    <w:rsid w:val="006F75FB"/>
    <w:rsid w:val="00787450"/>
    <w:rsid w:val="007B2492"/>
    <w:rsid w:val="007C7497"/>
    <w:rsid w:val="008156E7"/>
    <w:rsid w:val="008809F8"/>
    <w:rsid w:val="008A31FA"/>
    <w:rsid w:val="008D3E38"/>
    <w:rsid w:val="00900C8E"/>
    <w:rsid w:val="0096606C"/>
    <w:rsid w:val="0097531C"/>
    <w:rsid w:val="009E3069"/>
    <w:rsid w:val="009E4204"/>
    <w:rsid w:val="00A710C8"/>
    <w:rsid w:val="00A927B6"/>
    <w:rsid w:val="00AB16B8"/>
    <w:rsid w:val="00AC63AA"/>
    <w:rsid w:val="00AF7F5E"/>
    <w:rsid w:val="00B05C84"/>
    <w:rsid w:val="00B521D4"/>
    <w:rsid w:val="00B73806"/>
    <w:rsid w:val="00B90B66"/>
    <w:rsid w:val="00BA5E41"/>
    <w:rsid w:val="00BD4A88"/>
    <w:rsid w:val="00C10868"/>
    <w:rsid w:val="00D275F1"/>
    <w:rsid w:val="00D6505D"/>
    <w:rsid w:val="00DD0AE6"/>
    <w:rsid w:val="00E20BC8"/>
    <w:rsid w:val="00E412DA"/>
    <w:rsid w:val="00E4321E"/>
    <w:rsid w:val="00EB298D"/>
    <w:rsid w:val="00F0730B"/>
    <w:rsid w:val="00F93FD7"/>
    <w:rsid w:val="00FA776A"/>
    <w:rsid w:val="00FC5597"/>
    <w:rsid w:val="00FD2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B97D3"/>
  <w15:chartTrackingRefBased/>
  <w15:docId w15:val="{F38DF6DF-4FF7-472D-86FD-F9ED2476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0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0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0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50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0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0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0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0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0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0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0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0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50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0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0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0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0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0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027"/>
    <w:pPr>
      <w:spacing w:before="160"/>
      <w:jc w:val="center"/>
    </w:pPr>
    <w:rPr>
      <w:i/>
      <w:iCs/>
      <w:color w:val="404040" w:themeColor="text1" w:themeTint="BF"/>
    </w:rPr>
  </w:style>
  <w:style w:type="character" w:customStyle="1" w:styleId="a8">
    <w:name w:val="引用文 (文字)"/>
    <w:basedOn w:val="a0"/>
    <w:link w:val="a7"/>
    <w:uiPriority w:val="29"/>
    <w:rsid w:val="00385027"/>
    <w:rPr>
      <w:i/>
      <w:iCs/>
      <w:color w:val="404040" w:themeColor="text1" w:themeTint="BF"/>
    </w:rPr>
  </w:style>
  <w:style w:type="paragraph" w:styleId="a9">
    <w:name w:val="List Paragraph"/>
    <w:basedOn w:val="a"/>
    <w:uiPriority w:val="34"/>
    <w:qFormat/>
    <w:rsid w:val="00385027"/>
    <w:pPr>
      <w:ind w:left="720"/>
      <w:contextualSpacing/>
    </w:pPr>
  </w:style>
  <w:style w:type="character" w:styleId="21">
    <w:name w:val="Intense Emphasis"/>
    <w:basedOn w:val="a0"/>
    <w:uiPriority w:val="21"/>
    <w:qFormat/>
    <w:rsid w:val="00385027"/>
    <w:rPr>
      <w:i/>
      <w:iCs/>
      <w:color w:val="0F4761" w:themeColor="accent1" w:themeShade="BF"/>
    </w:rPr>
  </w:style>
  <w:style w:type="paragraph" w:styleId="22">
    <w:name w:val="Intense Quote"/>
    <w:basedOn w:val="a"/>
    <w:next w:val="a"/>
    <w:link w:val="23"/>
    <w:uiPriority w:val="30"/>
    <w:qFormat/>
    <w:rsid w:val="00385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027"/>
    <w:rPr>
      <w:i/>
      <w:iCs/>
      <w:color w:val="0F4761" w:themeColor="accent1" w:themeShade="BF"/>
    </w:rPr>
  </w:style>
  <w:style w:type="character" w:styleId="24">
    <w:name w:val="Intense Reference"/>
    <w:basedOn w:val="a0"/>
    <w:uiPriority w:val="32"/>
    <w:qFormat/>
    <w:rsid w:val="00385027"/>
    <w:rPr>
      <w:b/>
      <w:bCs/>
      <w:smallCaps/>
      <w:color w:val="0F4761" w:themeColor="accent1" w:themeShade="BF"/>
      <w:spacing w:val="5"/>
    </w:rPr>
  </w:style>
  <w:style w:type="paragraph" w:styleId="aa">
    <w:name w:val="header"/>
    <w:basedOn w:val="a"/>
    <w:link w:val="ab"/>
    <w:uiPriority w:val="99"/>
    <w:unhideWhenUsed/>
    <w:rsid w:val="00385027"/>
    <w:pPr>
      <w:tabs>
        <w:tab w:val="center" w:pos="4252"/>
        <w:tab w:val="right" w:pos="8504"/>
      </w:tabs>
      <w:snapToGrid w:val="0"/>
    </w:pPr>
  </w:style>
  <w:style w:type="character" w:customStyle="1" w:styleId="ab">
    <w:name w:val="ヘッダー (文字)"/>
    <w:basedOn w:val="a0"/>
    <w:link w:val="aa"/>
    <w:uiPriority w:val="99"/>
    <w:rsid w:val="00385027"/>
  </w:style>
  <w:style w:type="paragraph" w:styleId="ac">
    <w:name w:val="footer"/>
    <w:basedOn w:val="a"/>
    <w:link w:val="ad"/>
    <w:uiPriority w:val="99"/>
    <w:unhideWhenUsed/>
    <w:rsid w:val="00385027"/>
    <w:pPr>
      <w:tabs>
        <w:tab w:val="center" w:pos="4252"/>
        <w:tab w:val="right" w:pos="8504"/>
      </w:tabs>
      <w:snapToGrid w:val="0"/>
    </w:pPr>
  </w:style>
  <w:style w:type="character" w:customStyle="1" w:styleId="ad">
    <w:name w:val="フッター (文字)"/>
    <w:basedOn w:val="a0"/>
    <w:link w:val="ac"/>
    <w:uiPriority w:val="99"/>
    <w:rsid w:val="00385027"/>
  </w:style>
  <w:style w:type="paragraph" w:styleId="ae">
    <w:name w:val="Revision"/>
    <w:hidden/>
    <w:uiPriority w:val="99"/>
    <w:semiHidden/>
    <w:rsid w:val="00E4321E"/>
    <w:pPr>
      <w:spacing w:after="0" w:line="240" w:lineRule="auto"/>
    </w:pPr>
  </w:style>
  <w:style w:type="character" w:styleId="af">
    <w:name w:val="annotation reference"/>
    <w:basedOn w:val="a0"/>
    <w:uiPriority w:val="99"/>
    <w:semiHidden/>
    <w:unhideWhenUsed/>
    <w:rsid w:val="003943BF"/>
    <w:rPr>
      <w:sz w:val="21"/>
      <w:szCs w:val="21"/>
    </w:rPr>
  </w:style>
  <w:style w:type="paragraph" w:styleId="af0">
    <w:name w:val="annotation text"/>
    <w:basedOn w:val="a"/>
    <w:link w:val="af1"/>
    <w:uiPriority w:val="99"/>
    <w:unhideWhenUsed/>
    <w:rsid w:val="003943BF"/>
  </w:style>
  <w:style w:type="character" w:customStyle="1" w:styleId="af1">
    <w:name w:val="コメント文字列 (文字)"/>
    <w:basedOn w:val="a0"/>
    <w:link w:val="af0"/>
    <w:uiPriority w:val="99"/>
    <w:rsid w:val="003943BF"/>
  </w:style>
  <w:style w:type="paragraph" w:styleId="af2">
    <w:name w:val="annotation subject"/>
    <w:basedOn w:val="af0"/>
    <w:next w:val="af0"/>
    <w:link w:val="af3"/>
    <w:uiPriority w:val="99"/>
    <w:semiHidden/>
    <w:unhideWhenUsed/>
    <w:rsid w:val="003943BF"/>
    <w:rPr>
      <w:b/>
      <w:bCs/>
    </w:rPr>
  </w:style>
  <w:style w:type="character" w:customStyle="1" w:styleId="af3">
    <w:name w:val="コメント内容 (文字)"/>
    <w:basedOn w:val="af1"/>
    <w:link w:val="af2"/>
    <w:uiPriority w:val="99"/>
    <w:semiHidden/>
    <w:rsid w:val="00394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7190</Characters>
  <Application>Microsoft Office Word</Application>
  <DocSecurity>0</DocSecurity>
  <Lines>135</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Oshima</dc:creator>
  <cp:keywords/>
  <dc:description/>
  <cp:lastModifiedBy>OSHIMA Kazuhiro</cp:lastModifiedBy>
  <cp:revision>3</cp:revision>
  <dcterms:created xsi:type="dcterms:W3CDTF">2025-12-18T02:11:00Z</dcterms:created>
  <dcterms:modified xsi:type="dcterms:W3CDTF">2025-12-18T06:29:00Z</dcterms:modified>
</cp:coreProperties>
</file>